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296A" w14:textId="2CFF7259" w:rsidR="00226423" w:rsidRDefault="00226423" w:rsidP="00156F48">
      <w:pPr>
        <w:jc w:val="both"/>
        <w:rPr>
          <w:rFonts w:ascii="Garamond" w:hAnsi="Garamond"/>
          <w:b/>
          <w:bCs/>
          <w:lang w:val="it-IT"/>
        </w:rPr>
      </w:pPr>
    </w:p>
    <w:p w14:paraId="5103F50F" w14:textId="77777777" w:rsidR="00156F48" w:rsidRDefault="00156F48" w:rsidP="00156F48">
      <w:pPr>
        <w:jc w:val="both"/>
        <w:rPr>
          <w:rFonts w:ascii="Garamond" w:hAnsi="Garamond"/>
          <w:b/>
          <w:bCs/>
          <w:lang w:val="it-IT"/>
        </w:rPr>
      </w:pPr>
    </w:p>
    <w:p w14:paraId="033498CE" w14:textId="77777777" w:rsidR="00156F48" w:rsidRPr="00156F48" w:rsidRDefault="00156F48" w:rsidP="00156F48">
      <w:pPr>
        <w:jc w:val="both"/>
        <w:rPr>
          <w:rFonts w:ascii="Garamond" w:hAnsi="Garamond"/>
          <w:b/>
          <w:bCs/>
          <w:lang w:val="it-IT"/>
        </w:rPr>
      </w:pPr>
    </w:p>
    <w:p w14:paraId="26303689" w14:textId="266275B4" w:rsidR="00D000CB" w:rsidRPr="00156F48" w:rsidRDefault="00156F48" w:rsidP="00156F48">
      <w:pPr>
        <w:jc w:val="both"/>
        <w:rPr>
          <w:rFonts w:ascii="Garamond" w:hAnsi="Garamond"/>
          <w:b/>
          <w:bCs/>
          <w:lang w:val="it-IT"/>
        </w:rPr>
      </w:pPr>
      <w:r w:rsidRPr="00156F48">
        <w:rPr>
          <w:rFonts w:ascii="Garamond" w:hAnsi="Garamond"/>
          <w:noProof/>
          <w:spacing w:val="-4"/>
          <w:lang w:val="it-IT" w:eastAsia="it-IT"/>
        </w:rPr>
        <w:drawing>
          <wp:inline distT="0" distB="0" distL="0" distR="0" wp14:anchorId="2A4A3CC7" wp14:editId="7D0A7595">
            <wp:extent cx="5400040" cy="902970"/>
            <wp:effectExtent l="0" t="0" r="0" b="0"/>
            <wp:docPr id="1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cherma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756" w:rsidRPr="00156F48">
        <w:rPr>
          <w:rFonts w:ascii="Garamond" w:hAnsi="Garamond"/>
          <w:b/>
          <w:bCs/>
          <w:lang w:val="it-IT"/>
        </w:rPr>
        <w:t xml:space="preserve"> </w:t>
      </w:r>
    </w:p>
    <w:p w14:paraId="1B2A9D1E" w14:textId="385C5264" w:rsidR="000772D2" w:rsidRDefault="000772D2" w:rsidP="00156F48">
      <w:pPr>
        <w:jc w:val="center"/>
        <w:rPr>
          <w:rFonts w:ascii="Garamond" w:hAnsi="Garamond"/>
          <w:b/>
          <w:bCs/>
          <w:smallCaps/>
          <w:lang w:val="it-IT" w:eastAsia="it-IT"/>
        </w:rPr>
      </w:pPr>
    </w:p>
    <w:p w14:paraId="2CAFA6A8" w14:textId="77777777" w:rsidR="00156F48" w:rsidRPr="00156F48" w:rsidRDefault="00156F48" w:rsidP="00156F48">
      <w:pPr>
        <w:jc w:val="center"/>
        <w:rPr>
          <w:rFonts w:ascii="Garamond" w:hAnsi="Garamond"/>
          <w:bCs/>
          <w:smallCaps/>
          <w:lang w:val="it-IT" w:eastAsia="it-IT"/>
        </w:rPr>
      </w:pPr>
    </w:p>
    <w:p w14:paraId="1CEC0FD4" w14:textId="4152E93F" w:rsidR="000772D2" w:rsidRPr="00156F48" w:rsidRDefault="00F70C13" w:rsidP="00156F48">
      <w:pPr>
        <w:rPr>
          <w:rFonts w:ascii="Garamond" w:hAnsi="Garamond"/>
          <w:b/>
          <w:smallCaps/>
        </w:rPr>
      </w:pPr>
      <w:proofErr w:type="spellStart"/>
      <w:r w:rsidRPr="00156F48">
        <w:rPr>
          <w:rFonts w:ascii="Garamond" w:hAnsi="Garamond"/>
          <w:b/>
          <w:bCs/>
          <w:smallCaps/>
          <w:lang w:val="it-IT" w:eastAsia="it-IT"/>
        </w:rPr>
        <w:t>Observatorio</w:t>
      </w:r>
      <w:proofErr w:type="spellEnd"/>
      <w:r w:rsidRPr="00156F48">
        <w:rPr>
          <w:rFonts w:ascii="Garamond" w:hAnsi="Garamond"/>
          <w:b/>
          <w:bCs/>
          <w:smallCaps/>
          <w:lang w:val="it-IT" w:eastAsia="it-IT"/>
        </w:rPr>
        <w:t xml:space="preserve"> de la Corte Interamericana de </w:t>
      </w:r>
      <w:proofErr w:type="spellStart"/>
      <w:r w:rsidRPr="00156F48">
        <w:rPr>
          <w:rFonts w:ascii="Garamond" w:hAnsi="Garamond"/>
          <w:b/>
          <w:bCs/>
          <w:smallCaps/>
          <w:lang w:val="it-IT" w:eastAsia="it-IT"/>
        </w:rPr>
        <w:t>Derechos</w:t>
      </w:r>
      <w:proofErr w:type="spellEnd"/>
      <w:r w:rsidRPr="00156F48">
        <w:rPr>
          <w:rFonts w:ascii="Garamond" w:hAnsi="Garamond"/>
          <w:b/>
          <w:bCs/>
          <w:smallCaps/>
          <w:lang w:val="it-IT" w:eastAsia="it-IT"/>
        </w:rPr>
        <w:t xml:space="preserve"> </w:t>
      </w:r>
      <w:proofErr w:type="spellStart"/>
      <w:proofErr w:type="gramStart"/>
      <w:r w:rsidRPr="00156F48">
        <w:rPr>
          <w:rFonts w:ascii="Garamond" w:hAnsi="Garamond"/>
          <w:b/>
          <w:bCs/>
          <w:smallCaps/>
          <w:lang w:val="it-IT" w:eastAsia="it-IT"/>
        </w:rPr>
        <w:t>Humanos</w:t>
      </w:r>
      <w:proofErr w:type="spellEnd"/>
      <w:r w:rsidRPr="00156F48">
        <w:rPr>
          <w:rFonts w:ascii="Garamond" w:hAnsi="Garamond"/>
          <w:b/>
          <w:bCs/>
          <w:smallCaps/>
          <w:lang w:val="it-IT" w:eastAsia="it-IT"/>
        </w:rPr>
        <w:t xml:space="preserve">  n.</w:t>
      </w:r>
      <w:proofErr w:type="gramEnd"/>
      <w:r w:rsidRPr="00156F48">
        <w:rPr>
          <w:rFonts w:ascii="Garamond" w:hAnsi="Garamond"/>
          <w:b/>
          <w:bCs/>
          <w:smallCaps/>
          <w:lang w:val="it-IT" w:eastAsia="it-IT"/>
        </w:rPr>
        <w:t xml:space="preserve"> </w:t>
      </w:r>
      <w:r w:rsidR="00394468" w:rsidRPr="00156F48">
        <w:rPr>
          <w:rFonts w:ascii="Garamond" w:hAnsi="Garamond"/>
          <w:b/>
          <w:bCs/>
          <w:smallCaps/>
          <w:lang w:val="it-IT" w:eastAsia="it-IT"/>
        </w:rPr>
        <w:t>4</w:t>
      </w:r>
      <w:r w:rsidRPr="00156F48">
        <w:rPr>
          <w:rFonts w:ascii="Garamond" w:hAnsi="Garamond"/>
          <w:b/>
          <w:bCs/>
          <w:smallCaps/>
          <w:lang w:val="it-IT" w:eastAsia="it-IT"/>
        </w:rPr>
        <w:t xml:space="preserve">/2023  </w:t>
      </w:r>
      <w:r w:rsidRPr="00156F48">
        <w:rPr>
          <w:rFonts w:ascii="Garamond" w:hAnsi="Garamond"/>
          <w:b/>
          <w:bCs/>
          <w:smallCaps/>
        </w:rPr>
        <w:t xml:space="preserve"> </w:t>
      </w:r>
      <w:r w:rsidR="00394468" w:rsidRPr="00156F48">
        <w:rPr>
          <w:rFonts w:ascii="Garamond" w:hAnsi="Garamond"/>
          <w:b/>
          <w:smallCaps/>
        </w:rPr>
        <w:t xml:space="preserve"> </w:t>
      </w:r>
    </w:p>
    <w:p w14:paraId="6FAD38B3" w14:textId="69994C7A" w:rsidR="00FE565A" w:rsidRDefault="00FE565A" w:rsidP="00156F48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A092555" w14:textId="198676CC" w:rsidR="00394468" w:rsidRPr="00156F48" w:rsidRDefault="000772D2" w:rsidP="00156F48">
      <w:pPr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Times New Roman (Corpo CS)"/>
          <w:b/>
          <w:bCs/>
          <w:smallCaps/>
        </w:rPr>
        <w:t>1.</w:t>
      </w:r>
      <w:r w:rsidR="00394468" w:rsidRPr="00156F48">
        <w:rPr>
          <w:rFonts w:ascii="Garamond" w:hAnsi="Garamond" w:cs="Times New Roman (Corpo CS)"/>
          <w:b/>
          <w:bCs/>
          <w:smallCaps/>
        </w:rPr>
        <w:t xml:space="preserve"> </w:t>
      </w:r>
      <w:proofErr w:type="spellStart"/>
      <w:r w:rsidR="00394468" w:rsidRPr="00156F48">
        <w:rPr>
          <w:rFonts w:ascii="Garamond" w:hAnsi="Garamond" w:cs="Times New Roman (Corpo CS)"/>
          <w:b/>
          <w:bCs/>
          <w:smallCaps/>
        </w:rPr>
        <w:t>Independencia</w:t>
      </w:r>
      <w:proofErr w:type="spellEnd"/>
      <w:r w:rsidR="00394468" w:rsidRPr="00156F48">
        <w:rPr>
          <w:rFonts w:ascii="Garamond" w:hAnsi="Garamond" w:cs="Times New Roman (Corpo CS)"/>
          <w:b/>
          <w:bCs/>
          <w:smallCaps/>
        </w:rPr>
        <w:t xml:space="preserve"> </w:t>
      </w:r>
      <w:proofErr w:type="spellStart"/>
      <w:r w:rsidR="00394468" w:rsidRPr="00156F48">
        <w:rPr>
          <w:rFonts w:ascii="Garamond" w:hAnsi="Garamond" w:cs="Times New Roman (Corpo CS)"/>
          <w:b/>
          <w:bCs/>
          <w:smallCaps/>
        </w:rPr>
        <w:t>judicial</w:t>
      </w:r>
      <w:proofErr w:type="spellEnd"/>
      <w:r w:rsidR="00394468" w:rsidRPr="00156F48">
        <w:rPr>
          <w:rFonts w:ascii="Garamond" w:hAnsi="Garamond" w:cs="Times New Roman (Corpo CS)"/>
          <w:b/>
          <w:bCs/>
          <w:smallCaps/>
        </w:rPr>
        <w:t xml:space="preserve"> : </w:t>
      </w:r>
      <w:proofErr w:type="spellStart"/>
      <w:r w:rsidR="00394468" w:rsidRPr="00156F48">
        <w:rPr>
          <w:rFonts w:ascii="Garamond" w:hAnsi="Garamond" w:cs="Times New Roman (Corpo CS)"/>
          <w:b/>
          <w:bCs/>
          <w:smallCaps/>
        </w:rPr>
        <w:t>linea</w:t>
      </w:r>
      <w:proofErr w:type="spellEnd"/>
      <w:r w:rsidR="00394468" w:rsidRPr="00156F48">
        <w:rPr>
          <w:rFonts w:ascii="Garamond" w:hAnsi="Garamond" w:cs="Times New Roman (Corpo CS)"/>
          <w:b/>
          <w:bCs/>
          <w:smallCaps/>
        </w:rPr>
        <w:t xml:space="preserve"> </w:t>
      </w:r>
      <w:proofErr w:type="spellStart"/>
      <w:r w:rsidR="00394468" w:rsidRPr="00156F48">
        <w:rPr>
          <w:rFonts w:ascii="Garamond" w:hAnsi="Garamond" w:cs="Times New Roman (Corpo CS)"/>
          <w:b/>
          <w:bCs/>
          <w:smallCaps/>
        </w:rPr>
        <w:t>jurisprudencial</w:t>
      </w:r>
      <w:proofErr w:type="spellEnd"/>
      <w:r w:rsidR="00394468" w:rsidRPr="00156F48">
        <w:rPr>
          <w:rFonts w:ascii="Garamond" w:hAnsi="Garamond" w:cs="Times New Roman (Corpo CS)"/>
          <w:b/>
          <w:bCs/>
          <w:smallCaps/>
        </w:rPr>
        <w:t xml:space="preserve"> de la Corte </w:t>
      </w:r>
      <w:proofErr w:type="spellStart"/>
      <w:r w:rsidR="00394468" w:rsidRPr="00156F48">
        <w:rPr>
          <w:rFonts w:ascii="Garamond" w:hAnsi="Garamond" w:cs="Times New Roman (Corpo CS)"/>
          <w:b/>
          <w:bCs/>
          <w:smallCaps/>
        </w:rPr>
        <w:t>Interamericana</w:t>
      </w:r>
      <w:proofErr w:type="spellEnd"/>
      <w:r w:rsidR="00394468" w:rsidRPr="00156F48">
        <w:rPr>
          <w:rFonts w:ascii="Garamond" w:hAnsi="Garamond" w:cs="Times New Roman (Corpo CS)"/>
          <w:b/>
          <w:bCs/>
          <w:smallCaps/>
        </w:rPr>
        <w:t xml:space="preserve"> de </w:t>
      </w:r>
      <w:r w:rsidR="00F70C13" w:rsidRPr="00156F48">
        <w:rPr>
          <w:rFonts w:ascii="Garamond" w:hAnsi="Garamond" w:cs="Times New Roman (Corpo CS)"/>
          <w:b/>
          <w:bCs/>
          <w:smallCaps/>
        </w:rPr>
        <w:t xml:space="preserve">Derechos </w:t>
      </w:r>
      <w:r w:rsidR="00394468" w:rsidRPr="00156F48">
        <w:rPr>
          <w:rFonts w:ascii="Garamond" w:hAnsi="Garamond" w:cs="Times New Roman (Corpo CS)"/>
          <w:b/>
          <w:bCs/>
          <w:smallCaps/>
        </w:rPr>
        <w:t>Humanos</w:t>
      </w:r>
      <w:r w:rsidR="00394468" w:rsidRPr="00156F48">
        <w:rPr>
          <w:rFonts w:ascii="Garamond" w:eastAsia="Calibri" w:hAnsi="Garamond" w:cs="Helvetica"/>
          <w:lang w:val="it-IT" w:eastAsia="en-US"/>
        </w:rPr>
        <w:t xml:space="preserve"> </w:t>
      </w:r>
      <w:r w:rsidR="00394468" w:rsidRPr="00156F48">
        <w:rPr>
          <w:rFonts w:ascii="Garamond" w:hAnsi="Garamond" w:cs="Arial"/>
          <w:color w:val="000000"/>
        </w:rPr>
        <w:t xml:space="preserve"> </w:t>
      </w:r>
    </w:p>
    <w:p w14:paraId="5BEA19ED" w14:textId="77777777" w:rsidR="00394468" w:rsidRPr="00156F48" w:rsidRDefault="00394468" w:rsidP="00156F48">
      <w:pPr>
        <w:jc w:val="both"/>
        <w:rPr>
          <w:rFonts w:ascii="Garamond" w:hAnsi="Garamond" w:cs="Arial"/>
          <w:color w:val="000000"/>
        </w:rPr>
      </w:pPr>
    </w:p>
    <w:p w14:paraId="3EF17017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los </w:t>
      </w:r>
      <w:proofErr w:type="spellStart"/>
      <w:r w:rsidRPr="00156F48">
        <w:rPr>
          <w:rFonts w:ascii="Garamond" w:hAnsi="Garamond" w:cs="Arial"/>
          <w:color w:val="000000"/>
        </w:rPr>
        <w:t>documentos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fundacionales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nueva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era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gramStart"/>
      <w:r w:rsidRPr="00156F48">
        <w:rPr>
          <w:rFonts w:ascii="Garamond" w:hAnsi="Garamond" w:cs="Arial"/>
          <w:color w:val="000000"/>
        </w:rPr>
        <w:t>la historia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Derecho y en las proclamas </w:t>
      </w:r>
      <w:proofErr w:type="spellStart"/>
      <w:r w:rsidRPr="00156F48">
        <w:rPr>
          <w:rFonts w:ascii="Garamond" w:hAnsi="Garamond" w:cs="Arial"/>
          <w:color w:val="000000"/>
        </w:rPr>
        <w:t>políticas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jurídicas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corresponden</w:t>
      </w:r>
      <w:proofErr w:type="spellEnd"/>
      <w:r w:rsidRPr="00156F48">
        <w:rPr>
          <w:rFonts w:ascii="Garamond" w:hAnsi="Garamond" w:cs="Arial"/>
          <w:color w:val="000000"/>
        </w:rPr>
        <w:t xml:space="preserve"> a este </w:t>
      </w:r>
      <w:proofErr w:type="spellStart"/>
      <w:r w:rsidRPr="00156F48">
        <w:rPr>
          <w:rFonts w:ascii="Garamond" w:hAnsi="Garamond" w:cs="Arial"/>
          <w:color w:val="000000"/>
        </w:rPr>
        <w:t>capítulo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esa</w:t>
      </w:r>
      <w:proofErr w:type="spellEnd"/>
      <w:r w:rsidRPr="00156F48">
        <w:rPr>
          <w:rFonts w:ascii="Garamond" w:hAnsi="Garamond" w:cs="Arial"/>
          <w:color w:val="000000"/>
        </w:rPr>
        <w:t xml:space="preserve"> historia, </w:t>
      </w:r>
      <w:proofErr w:type="spellStart"/>
      <w:r w:rsidRPr="00156F48">
        <w:rPr>
          <w:rFonts w:ascii="Garamond" w:hAnsi="Garamond" w:cs="Arial"/>
          <w:color w:val="000000"/>
        </w:rPr>
        <w:t>posee</w:t>
      </w:r>
      <w:proofErr w:type="spellEnd"/>
      <w:r w:rsidRPr="00156F48">
        <w:rPr>
          <w:rFonts w:ascii="Garamond" w:hAnsi="Garamond" w:cs="Arial"/>
          <w:color w:val="000000"/>
        </w:rPr>
        <w:t xml:space="preserve"> un </w:t>
      </w:r>
      <w:proofErr w:type="spellStart"/>
      <w:r w:rsidRPr="00156F48">
        <w:rPr>
          <w:rFonts w:ascii="Garamond" w:hAnsi="Garamond" w:cs="Arial"/>
          <w:color w:val="000000"/>
        </w:rPr>
        <w:t>lugar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prominente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división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 y, con </w:t>
      </w:r>
      <w:proofErr w:type="spellStart"/>
      <w:r w:rsidRPr="00156F48">
        <w:rPr>
          <w:rFonts w:ascii="Garamond" w:hAnsi="Garamond" w:cs="Arial"/>
          <w:color w:val="000000"/>
        </w:rPr>
        <w:t>ella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. Se </w:t>
      </w:r>
      <w:proofErr w:type="spellStart"/>
      <w:r w:rsidRPr="00156F48">
        <w:rPr>
          <w:rFonts w:ascii="Garamond" w:hAnsi="Garamond" w:cs="Arial"/>
          <w:color w:val="000000"/>
        </w:rPr>
        <w:t>afirma</w:t>
      </w:r>
      <w:proofErr w:type="spellEnd"/>
      <w:r w:rsidRPr="00156F48">
        <w:rPr>
          <w:rFonts w:ascii="Garamond" w:hAnsi="Garamond" w:cs="Arial"/>
          <w:color w:val="000000"/>
        </w:rPr>
        <w:t xml:space="preserve">, en los </w:t>
      </w:r>
      <w:proofErr w:type="spellStart"/>
      <w:r w:rsidRPr="00156F48">
        <w:rPr>
          <w:rFonts w:ascii="Garamond" w:hAnsi="Garamond" w:cs="Arial"/>
          <w:color w:val="000000"/>
        </w:rPr>
        <w:t>términos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Declaración</w:t>
      </w:r>
      <w:proofErr w:type="spellEnd"/>
      <w:r w:rsidRPr="00156F48">
        <w:rPr>
          <w:rFonts w:ascii="Garamond" w:hAnsi="Garamond" w:cs="Arial"/>
          <w:color w:val="000000"/>
        </w:rPr>
        <w:t xml:space="preserve"> de Derechos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Hombre y el </w:t>
      </w:r>
      <w:proofErr w:type="spellStart"/>
      <w:r w:rsidRPr="00156F48">
        <w:rPr>
          <w:rFonts w:ascii="Garamond" w:hAnsi="Garamond" w:cs="Arial"/>
          <w:color w:val="000000"/>
        </w:rPr>
        <w:t>Ciudadano</w:t>
      </w:r>
      <w:proofErr w:type="spellEnd"/>
      <w:r w:rsidRPr="00156F48">
        <w:rPr>
          <w:rFonts w:ascii="Garamond" w:hAnsi="Garamond" w:cs="Arial"/>
          <w:color w:val="000000"/>
        </w:rPr>
        <w:t xml:space="preserve">, de 1789, que la </w:t>
      </w:r>
      <w:proofErr w:type="spellStart"/>
      <w:r w:rsidRPr="00156F48">
        <w:rPr>
          <w:rFonts w:ascii="Garamond" w:hAnsi="Garamond" w:cs="Arial"/>
          <w:color w:val="000000"/>
        </w:rPr>
        <w:t>división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constituye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primaria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individuo</w:t>
      </w:r>
      <w:proofErr w:type="spellEnd"/>
      <w:r w:rsidRPr="00156F48">
        <w:rPr>
          <w:rFonts w:ascii="Garamond" w:hAnsi="Garamond" w:cs="Arial"/>
          <w:color w:val="000000"/>
        </w:rPr>
        <w:t xml:space="preserve">, y la </w:t>
      </w:r>
      <w:proofErr w:type="spellStart"/>
      <w:r w:rsidRPr="00156F48">
        <w:rPr>
          <w:rFonts w:ascii="Garamond" w:hAnsi="Garamond" w:cs="Arial"/>
          <w:color w:val="000000"/>
        </w:rPr>
        <w:t>Convención</w:t>
      </w:r>
      <w:proofErr w:type="spellEnd"/>
      <w:r w:rsidRPr="00156F48">
        <w:rPr>
          <w:rFonts w:ascii="Garamond" w:hAnsi="Garamond" w:cs="Arial"/>
          <w:color w:val="000000"/>
        </w:rPr>
        <w:t xml:space="preserve"> Americana sobre Derechos Humanos --al </w:t>
      </w:r>
      <w:proofErr w:type="spellStart"/>
      <w:r w:rsidRPr="00156F48">
        <w:rPr>
          <w:rFonts w:ascii="Garamond" w:hAnsi="Garamond" w:cs="Arial"/>
          <w:color w:val="000000"/>
        </w:rPr>
        <w:t>igual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otros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instrumentos</w:t>
      </w:r>
      <w:proofErr w:type="spellEnd"/>
      <w:r w:rsidRPr="00156F48">
        <w:rPr>
          <w:rFonts w:ascii="Garamond" w:hAnsi="Garamond" w:cs="Arial"/>
          <w:color w:val="000000"/>
        </w:rPr>
        <w:t xml:space="preserve">-- </w:t>
      </w:r>
      <w:proofErr w:type="spellStart"/>
      <w:r w:rsidRPr="00156F48">
        <w:rPr>
          <w:rFonts w:ascii="Garamond" w:hAnsi="Garamond" w:cs="Arial"/>
          <w:color w:val="000000"/>
        </w:rPr>
        <w:t>asegura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posibilidad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someter</w:t>
      </w:r>
      <w:proofErr w:type="spellEnd"/>
      <w:r w:rsidRPr="00156F48">
        <w:rPr>
          <w:rFonts w:ascii="Garamond" w:hAnsi="Garamond" w:cs="Arial"/>
          <w:color w:val="000000"/>
        </w:rPr>
        <w:t xml:space="preserve"> los </w:t>
      </w:r>
      <w:proofErr w:type="spellStart"/>
      <w:r w:rsidRPr="00156F48">
        <w:rPr>
          <w:rFonts w:ascii="Garamond" w:hAnsi="Garamond" w:cs="Arial"/>
          <w:color w:val="000000"/>
        </w:rPr>
        <w:t>litigios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independientes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imparciales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competentes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rasgos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corresponden</w:t>
      </w:r>
      <w:proofErr w:type="spellEnd"/>
      <w:r w:rsidRPr="00156F48">
        <w:rPr>
          <w:rFonts w:ascii="Garamond" w:hAnsi="Garamond" w:cs="Arial"/>
          <w:color w:val="000000"/>
        </w:rPr>
        <w:t xml:space="preserve"> a lo que </w:t>
      </w:r>
      <w:proofErr w:type="spellStart"/>
      <w:r w:rsidRPr="00156F48">
        <w:rPr>
          <w:rFonts w:ascii="Garamond" w:hAnsi="Garamond" w:cs="Arial"/>
          <w:color w:val="000000"/>
        </w:rPr>
        <w:t>solemos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calificar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“</w:t>
      </w:r>
      <w:proofErr w:type="spellStart"/>
      <w:r w:rsidRPr="00156F48">
        <w:rPr>
          <w:rFonts w:ascii="Garamond" w:hAnsi="Garamond" w:cs="Arial"/>
          <w:color w:val="000000"/>
        </w:rPr>
        <w:t>juez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natural</w:t>
      </w:r>
      <w:proofErr w:type="spellEnd"/>
      <w:r w:rsidRPr="00156F48">
        <w:rPr>
          <w:rFonts w:ascii="Garamond" w:hAnsi="Garamond" w:cs="Arial"/>
          <w:color w:val="000000"/>
        </w:rPr>
        <w:t>”.</w:t>
      </w:r>
    </w:p>
    <w:p w14:paraId="15DF4378" w14:textId="455E978F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He </w:t>
      </w:r>
      <w:proofErr w:type="spellStart"/>
      <w:r w:rsidRPr="00156F48">
        <w:rPr>
          <w:rFonts w:ascii="Garamond" w:hAnsi="Garamond" w:cs="Arial"/>
          <w:color w:val="000000"/>
        </w:rPr>
        <w:t>aquí</w:t>
      </w:r>
      <w:proofErr w:type="spellEnd"/>
      <w:r w:rsidRPr="00156F48">
        <w:rPr>
          <w:rFonts w:ascii="Garamond" w:hAnsi="Garamond" w:cs="Arial"/>
          <w:color w:val="000000"/>
        </w:rPr>
        <w:t xml:space="preserve"> un </w:t>
      </w:r>
      <w:proofErr w:type="spellStart"/>
      <w:r w:rsidRPr="00156F48">
        <w:rPr>
          <w:rFonts w:ascii="Garamond" w:hAnsi="Garamond" w:cs="Arial"/>
          <w:color w:val="000000"/>
        </w:rPr>
        <w:t>dato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sobresaliente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sistema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universal</w:t>
      </w:r>
      <w:proofErr w:type="spellEnd"/>
      <w:r w:rsidRPr="00156F48">
        <w:rPr>
          <w:rFonts w:ascii="Garamond" w:hAnsi="Garamond" w:cs="Arial"/>
          <w:color w:val="000000"/>
        </w:rPr>
        <w:t xml:space="preserve"> y de los </w:t>
      </w:r>
      <w:proofErr w:type="spellStart"/>
      <w:r w:rsidRPr="00156F48">
        <w:rPr>
          <w:rFonts w:ascii="Garamond" w:hAnsi="Garamond" w:cs="Arial"/>
          <w:color w:val="000000"/>
        </w:rPr>
        <w:t>sistemas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regionales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humanos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asociado</w:t>
      </w:r>
      <w:proofErr w:type="spellEnd"/>
      <w:r w:rsidRPr="00156F48">
        <w:rPr>
          <w:rFonts w:ascii="Garamond" w:hAnsi="Garamond" w:cs="Arial"/>
          <w:color w:val="000000"/>
        </w:rPr>
        <w:t xml:space="preserve"> a los </w:t>
      </w:r>
      <w:proofErr w:type="spellStart"/>
      <w:r w:rsidRPr="00156F48">
        <w:rPr>
          <w:rFonts w:ascii="Garamond" w:hAnsi="Garamond" w:cs="Arial"/>
          <w:color w:val="000000"/>
        </w:rPr>
        <w:t>conceptos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libertad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democracia</w:t>
      </w:r>
      <w:proofErr w:type="spellEnd"/>
      <w:r w:rsidRPr="00156F48">
        <w:rPr>
          <w:rFonts w:ascii="Garamond" w:hAnsi="Garamond" w:cs="Arial"/>
          <w:color w:val="000000"/>
        </w:rPr>
        <w:t xml:space="preserve">. A este </w:t>
      </w:r>
      <w:proofErr w:type="spellStart"/>
      <w:r w:rsidRPr="00156F48">
        <w:rPr>
          <w:rFonts w:ascii="Garamond" w:hAnsi="Garamond" w:cs="Arial"/>
          <w:color w:val="000000"/>
        </w:rPr>
        <w:t>respecto</w:t>
      </w:r>
      <w:proofErr w:type="spellEnd"/>
      <w:r w:rsidRPr="00156F48">
        <w:rPr>
          <w:rFonts w:ascii="Garamond" w:hAnsi="Garamond" w:cs="Arial"/>
          <w:color w:val="000000"/>
        </w:rPr>
        <w:t xml:space="preserve">, la Corte </w:t>
      </w:r>
      <w:proofErr w:type="spellStart"/>
      <w:r w:rsidRPr="00156F48">
        <w:rPr>
          <w:rFonts w:ascii="Garamond" w:hAnsi="Garamond" w:cs="Arial"/>
          <w:color w:val="000000"/>
        </w:rPr>
        <w:t>Interamericana</w:t>
      </w:r>
      <w:proofErr w:type="spellEnd"/>
      <w:r w:rsidRPr="00156F48">
        <w:rPr>
          <w:rFonts w:ascii="Garamond" w:hAnsi="Garamond" w:cs="Arial"/>
          <w:color w:val="000000"/>
        </w:rPr>
        <w:t xml:space="preserve"> de Derechos Humanos (en </w:t>
      </w:r>
      <w:proofErr w:type="spellStart"/>
      <w:r w:rsidRPr="00156F48">
        <w:rPr>
          <w:rFonts w:ascii="Garamond" w:hAnsi="Garamond" w:cs="Arial"/>
          <w:color w:val="000000"/>
        </w:rPr>
        <w:t>adelante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 o Tribunal de San José) ha </w:t>
      </w:r>
      <w:proofErr w:type="spellStart"/>
      <w:r w:rsidRPr="00156F48">
        <w:rPr>
          <w:rFonts w:ascii="Garamond" w:hAnsi="Garamond" w:cs="Arial"/>
          <w:color w:val="000000"/>
        </w:rPr>
        <w:t>sostenido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uno</w:t>
      </w:r>
      <w:proofErr w:type="spellEnd"/>
      <w:r w:rsidRPr="00156F48">
        <w:rPr>
          <w:rFonts w:ascii="Garamond" w:hAnsi="Garamond" w:cs="Arial"/>
          <w:color w:val="000000"/>
        </w:rPr>
        <w:t xml:space="preserve"> de sus </w:t>
      </w:r>
      <w:proofErr w:type="spellStart"/>
      <w:r w:rsidRPr="00156F48">
        <w:rPr>
          <w:rFonts w:ascii="Garamond" w:hAnsi="Garamond" w:cs="Arial"/>
          <w:color w:val="000000"/>
        </w:rPr>
        <w:t>primeros</w:t>
      </w:r>
      <w:proofErr w:type="spellEnd"/>
      <w:r w:rsidRPr="00156F48">
        <w:rPr>
          <w:rFonts w:ascii="Garamond" w:hAnsi="Garamond" w:cs="Arial"/>
          <w:color w:val="000000"/>
        </w:rPr>
        <w:t xml:space="preserve"> pronunciamientos, que forma parte de la </w:t>
      </w:r>
      <w:proofErr w:type="spellStart"/>
      <w:r w:rsidRPr="00156F48">
        <w:rPr>
          <w:rFonts w:ascii="Garamond" w:hAnsi="Garamond" w:cs="Arial"/>
          <w:color w:val="000000"/>
        </w:rPr>
        <w:t>jurisprudencia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básica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ese</w:t>
      </w:r>
      <w:proofErr w:type="spellEnd"/>
      <w:r w:rsidRPr="00156F48">
        <w:rPr>
          <w:rFonts w:ascii="Garamond" w:hAnsi="Garamond" w:cs="Arial"/>
          <w:color w:val="000000"/>
        </w:rPr>
        <w:t xml:space="preserve"> Tribunal, que</w:t>
      </w:r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795FC4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  <w:color w:val="000000"/>
        </w:rPr>
        <w:t>el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concepto</w:t>
      </w:r>
      <w:proofErr w:type="spellEnd"/>
      <w:r w:rsidRPr="00156F48">
        <w:rPr>
          <w:rFonts w:ascii="Garamond" w:hAnsi="Garamond" w:cs="Arial"/>
          <w:color w:val="000000"/>
        </w:rPr>
        <w:t xml:space="preserve"> de derechos y </w:t>
      </w:r>
      <w:proofErr w:type="spellStart"/>
      <w:r w:rsidRPr="00156F48">
        <w:rPr>
          <w:rFonts w:ascii="Garamond" w:hAnsi="Garamond" w:cs="Arial"/>
          <w:color w:val="000000"/>
        </w:rPr>
        <w:t>libertades</w:t>
      </w:r>
      <w:proofErr w:type="spellEnd"/>
      <w:r w:rsidRPr="00156F48">
        <w:rPr>
          <w:rFonts w:ascii="Garamond" w:hAnsi="Garamond" w:cs="Arial"/>
          <w:color w:val="000000"/>
        </w:rPr>
        <w:t xml:space="preserve"> y,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ende</w:t>
      </w:r>
      <w:proofErr w:type="spellEnd"/>
      <w:r w:rsidRPr="00156F48">
        <w:rPr>
          <w:rFonts w:ascii="Garamond" w:hAnsi="Garamond" w:cs="Arial"/>
          <w:color w:val="000000"/>
        </w:rPr>
        <w:t xml:space="preserve">, el de sus </w:t>
      </w:r>
      <w:proofErr w:type="spellStart"/>
      <w:r w:rsidRPr="00156F48">
        <w:rPr>
          <w:rFonts w:ascii="Garamond" w:hAnsi="Garamond" w:cs="Arial"/>
          <w:color w:val="000000"/>
        </w:rPr>
        <w:t>garantías</w:t>
      </w:r>
      <w:proofErr w:type="spellEnd"/>
      <w:r w:rsidRPr="00156F48">
        <w:rPr>
          <w:rFonts w:ascii="Garamond" w:hAnsi="Garamond" w:cs="Arial"/>
          <w:color w:val="000000"/>
        </w:rPr>
        <w:t xml:space="preserve">, es (…) </w:t>
      </w:r>
      <w:proofErr w:type="spellStart"/>
      <w:r w:rsidRPr="00156F48">
        <w:rPr>
          <w:rFonts w:ascii="Garamond" w:hAnsi="Garamond" w:cs="Arial"/>
          <w:color w:val="000000"/>
        </w:rPr>
        <w:t>inseparable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sistema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valores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principios</w:t>
      </w:r>
      <w:proofErr w:type="spellEnd"/>
      <w:r w:rsidRPr="00156F48">
        <w:rPr>
          <w:rFonts w:ascii="Garamond" w:hAnsi="Garamond" w:cs="Arial"/>
          <w:color w:val="000000"/>
        </w:rPr>
        <w:t xml:space="preserve"> que lo inspira. En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sociedad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democrática</w:t>
      </w:r>
      <w:proofErr w:type="spellEnd"/>
      <w:r w:rsidRPr="00156F48">
        <w:rPr>
          <w:rFonts w:ascii="Garamond" w:hAnsi="Garamond" w:cs="Arial"/>
          <w:color w:val="000000"/>
        </w:rPr>
        <w:t xml:space="preserve">, los derechos y </w:t>
      </w:r>
      <w:proofErr w:type="spellStart"/>
      <w:r w:rsidRPr="00156F48">
        <w:rPr>
          <w:rFonts w:ascii="Garamond" w:hAnsi="Garamond" w:cs="Arial"/>
          <w:color w:val="000000"/>
        </w:rPr>
        <w:t>libertades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inherentes</w:t>
      </w:r>
      <w:proofErr w:type="spellEnd"/>
      <w:r w:rsidRPr="00156F48">
        <w:rPr>
          <w:rFonts w:ascii="Garamond" w:hAnsi="Garamond" w:cs="Arial"/>
          <w:color w:val="000000"/>
        </w:rPr>
        <w:t xml:space="preserve"> a la persona, sus </w:t>
      </w:r>
      <w:proofErr w:type="spellStart"/>
      <w:r w:rsidRPr="00156F48">
        <w:rPr>
          <w:rFonts w:ascii="Garamond" w:hAnsi="Garamond" w:cs="Arial"/>
          <w:color w:val="000000"/>
        </w:rPr>
        <w:t>garantías</w:t>
      </w:r>
      <w:proofErr w:type="spellEnd"/>
      <w:r w:rsidRPr="00156F48">
        <w:rPr>
          <w:rFonts w:ascii="Garamond" w:hAnsi="Garamond" w:cs="Arial"/>
          <w:color w:val="000000"/>
        </w:rPr>
        <w:t xml:space="preserve"> y el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de Derecho </w:t>
      </w:r>
      <w:proofErr w:type="spellStart"/>
      <w:r w:rsidRPr="00156F48">
        <w:rPr>
          <w:rFonts w:ascii="Garamond" w:hAnsi="Garamond" w:cs="Arial"/>
          <w:color w:val="000000"/>
        </w:rPr>
        <w:t>constituyen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tríada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cada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cuyos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componentes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define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completa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adquiere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sentido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otros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proofErr w:type="gram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Opinión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Consultiva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OC-8/87,</w:t>
      </w:r>
      <w:r w:rsidRPr="00156F48">
        <w:rPr>
          <w:rFonts w:ascii="Garamond" w:hAnsi="Garamond" w:cs="Arial"/>
          <w:color w:val="000000"/>
        </w:rPr>
        <w:t xml:space="preserve"> 30 de </w:t>
      </w:r>
      <w:proofErr w:type="spellStart"/>
      <w:r w:rsidRPr="00156F48">
        <w:rPr>
          <w:rFonts w:ascii="Garamond" w:hAnsi="Garamond" w:cs="Arial"/>
          <w:color w:val="000000"/>
        </w:rPr>
        <w:t>enero</w:t>
      </w:r>
      <w:proofErr w:type="spellEnd"/>
      <w:r w:rsidRPr="00156F48">
        <w:rPr>
          <w:rFonts w:ascii="Garamond" w:hAnsi="Garamond" w:cs="Arial"/>
          <w:color w:val="000000"/>
        </w:rPr>
        <w:t xml:space="preserve"> de 1987,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26).</w:t>
      </w:r>
    </w:p>
    <w:p w14:paraId="02D1BC9E" w14:textId="556F0973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</w:t>
      </w:r>
      <w:proofErr w:type="spellStart"/>
      <w:r w:rsidRPr="00156F48">
        <w:rPr>
          <w:rFonts w:ascii="Garamond" w:hAnsi="Garamond" w:cs="Arial"/>
          <w:color w:val="000000"/>
        </w:rPr>
        <w:t>otro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tiempo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redujo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ser</w:t>
      </w:r>
      <w:proofErr w:type="spellEnd"/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BD065C" w:rsidRPr="00156F48">
        <w:rPr>
          <w:rFonts w:ascii="Garamond" w:hAnsi="Garamond" w:cs="Arial"/>
          <w:color w:val="000000"/>
        </w:rPr>
        <w:t>«</w:t>
      </w:r>
      <w:proofErr w:type="spellStart"/>
      <w:r w:rsidRPr="00156F48">
        <w:rPr>
          <w:rFonts w:ascii="Garamond" w:hAnsi="Garamond" w:cs="Arial"/>
          <w:color w:val="000000"/>
        </w:rPr>
        <w:t>boca</w:t>
      </w:r>
      <w:proofErr w:type="spellEnd"/>
      <w:proofErr w:type="gram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pronuncia</w:t>
      </w:r>
      <w:proofErr w:type="spellEnd"/>
      <w:r w:rsidRPr="00156F48">
        <w:rPr>
          <w:rFonts w:ascii="Garamond" w:hAnsi="Garamond" w:cs="Arial"/>
          <w:color w:val="000000"/>
        </w:rPr>
        <w:t xml:space="preserve"> las palabras de la </w:t>
      </w:r>
      <w:proofErr w:type="spellStart"/>
      <w:r w:rsidRPr="00156F48">
        <w:rPr>
          <w:rFonts w:ascii="Garamond" w:hAnsi="Garamond" w:cs="Arial"/>
          <w:color w:val="000000"/>
        </w:rPr>
        <w:t>ley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(Montesquieu, Charles Louis de Secondat, </w:t>
      </w:r>
      <w:proofErr w:type="spellStart"/>
      <w:r w:rsidRPr="00156F48">
        <w:rPr>
          <w:rFonts w:ascii="Garamond" w:hAnsi="Garamond" w:cs="Arial"/>
          <w:color w:val="000000"/>
        </w:rPr>
        <w:t>barón</w:t>
      </w:r>
      <w:proofErr w:type="spellEnd"/>
      <w:r w:rsidRPr="00156F48">
        <w:rPr>
          <w:rFonts w:ascii="Garamond" w:hAnsi="Garamond" w:cs="Arial"/>
          <w:color w:val="000000"/>
        </w:rPr>
        <w:t xml:space="preserve"> de, </w:t>
      </w:r>
      <w:r w:rsidRPr="00156F48">
        <w:rPr>
          <w:rFonts w:ascii="Garamond" w:hAnsi="Garamond" w:cs="Arial"/>
          <w:i/>
          <w:iCs/>
          <w:color w:val="000000"/>
        </w:rPr>
        <w:t xml:space="preserve">Del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espíritu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las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leyes</w:t>
      </w:r>
      <w:proofErr w:type="spellEnd"/>
      <w:r w:rsidRPr="00156F48">
        <w:rPr>
          <w:rFonts w:ascii="Garamond" w:hAnsi="Garamond" w:cs="Arial"/>
          <w:color w:val="000000"/>
        </w:rPr>
        <w:t xml:space="preserve">, trad. de </w:t>
      </w:r>
      <w:proofErr w:type="spellStart"/>
      <w:r w:rsidRPr="00156F48">
        <w:rPr>
          <w:rFonts w:ascii="Garamond" w:hAnsi="Garamond" w:cs="Arial"/>
          <w:color w:val="000000"/>
        </w:rPr>
        <w:t>Nicolás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Estévanez</w:t>
      </w:r>
      <w:proofErr w:type="spellEnd"/>
      <w:r w:rsidRPr="00156F48">
        <w:rPr>
          <w:rFonts w:ascii="Garamond" w:hAnsi="Garamond" w:cs="Arial"/>
          <w:color w:val="000000"/>
        </w:rPr>
        <w:t xml:space="preserve">, 4ª. </w:t>
      </w:r>
      <w:proofErr w:type="spellStart"/>
      <w:r w:rsidRPr="00156F48">
        <w:rPr>
          <w:rFonts w:ascii="Garamond" w:hAnsi="Garamond" w:cs="Arial"/>
          <w:color w:val="000000"/>
        </w:rPr>
        <w:t>ed</w:t>
      </w:r>
      <w:proofErr w:type="spellEnd"/>
      <w:r w:rsidRPr="00156F48">
        <w:rPr>
          <w:rFonts w:ascii="Garamond" w:hAnsi="Garamond" w:cs="Arial"/>
          <w:color w:val="000000"/>
        </w:rPr>
        <w:t xml:space="preserve">., México, </w:t>
      </w:r>
      <w:proofErr w:type="spellStart"/>
      <w:r w:rsidRPr="00156F48">
        <w:rPr>
          <w:rFonts w:ascii="Garamond" w:hAnsi="Garamond" w:cs="Arial"/>
          <w:color w:val="000000"/>
        </w:rPr>
        <w:t>Porrúa</w:t>
      </w:r>
      <w:proofErr w:type="spellEnd"/>
      <w:r w:rsidRPr="00156F48">
        <w:rPr>
          <w:rFonts w:ascii="Garamond" w:hAnsi="Garamond" w:cs="Arial"/>
          <w:color w:val="000000"/>
        </w:rPr>
        <w:t xml:space="preserve">, 1980), </w:t>
      </w:r>
      <w:proofErr w:type="spellStart"/>
      <w:r w:rsidRPr="00156F48">
        <w:rPr>
          <w:rFonts w:ascii="Garamond" w:hAnsi="Garamond" w:cs="Arial"/>
          <w:color w:val="000000"/>
        </w:rPr>
        <w:t>expresión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tuvo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pleno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sentido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color w:val="000000"/>
        </w:rPr>
        <w:t>circunstancia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política</w:t>
      </w:r>
      <w:proofErr w:type="spellEnd"/>
      <w:r w:rsidRPr="00156F48">
        <w:rPr>
          <w:rFonts w:ascii="Garamond" w:hAnsi="Garamond" w:cs="Arial"/>
          <w:color w:val="000000"/>
        </w:rPr>
        <w:t xml:space="preserve"> en que se </w:t>
      </w:r>
      <w:proofErr w:type="spellStart"/>
      <w:r w:rsidRPr="00156F48">
        <w:rPr>
          <w:rFonts w:ascii="Garamond" w:hAnsi="Garamond" w:cs="Arial"/>
          <w:color w:val="000000"/>
        </w:rPr>
        <w:t>produjo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spellStart"/>
      <w:r w:rsidRPr="00156F48">
        <w:rPr>
          <w:rFonts w:ascii="Garamond" w:hAnsi="Garamond" w:cs="Arial"/>
          <w:color w:val="000000"/>
        </w:rPr>
        <w:t>También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advirtió</w:t>
      </w:r>
      <w:proofErr w:type="spellEnd"/>
      <w:r w:rsidRPr="00156F48">
        <w:rPr>
          <w:rFonts w:ascii="Garamond" w:hAnsi="Garamond" w:cs="Arial"/>
          <w:color w:val="000000"/>
        </w:rPr>
        <w:t xml:space="preserve"> que el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era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menos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peligroso</w:t>
      </w:r>
      <w:proofErr w:type="spellEnd"/>
      <w:r w:rsidRPr="00156F48">
        <w:rPr>
          <w:rFonts w:ascii="Garamond" w:hAnsi="Garamond" w:cs="Arial"/>
          <w:color w:val="000000"/>
        </w:rPr>
        <w:t xml:space="preserve"> --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poderoso</w:t>
      </w:r>
      <w:proofErr w:type="spellEnd"/>
      <w:r w:rsidRPr="00156F48">
        <w:rPr>
          <w:rFonts w:ascii="Garamond" w:hAnsi="Garamond" w:cs="Arial"/>
          <w:color w:val="000000"/>
        </w:rPr>
        <w:t xml:space="preserve">-- entre los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(Hamilton, Alexander, en Hamilton, Madison y Jay, </w:t>
      </w:r>
      <w:r w:rsidRPr="00156F48">
        <w:rPr>
          <w:rFonts w:ascii="Garamond" w:hAnsi="Garamond" w:cs="Arial"/>
          <w:i/>
          <w:iCs/>
          <w:color w:val="000000"/>
        </w:rPr>
        <w:t xml:space="preserve">El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federalista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,</w:t>
      </w:r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>LXXVIII</w:t>
      </w:r>
      <w:r w:rsidRPr="00156F48">
        <w:rPr>
          <w:rFonts w:ascii="Garamond" w:hAnsi="Garamond" w:cs="Arial"/>
          <w:color w:val="000000"/>
        </w:rPr>
        <w:t xml:space="preserve">, 2ª </w:t>
      </w:r>
      <w:proofErr w:type="spellStart"/>
      <w:r w:rsidRPr="00156F48">
        <w:rPr>
          <w:rFonts w:ascii="Garamond" w:hAnsi="Garamond" w:cs="Arial"/>
          <w:color w:val="000000"/>
        </w:rPr>
        <w:t>ed</w:t>
      </w:r>
      <w:proofErr w:type="spellEnd"/>
      <w:r w:rsidRPr="00156F48">
        <w:rPr>
          <w:rFonts w:ascii="Garamond" w:hAnsi="Garamond" w:cs="Arial"/>
          <w:color w:val="000000"/>
        </w:rPr>
        <w:t xml:space="preserve">., México, </w:t>
      </w:r>
      <w:proofErr w:type="spellStart"/>
      <w:r w:rsidRPr="00156F48">
        <w:rPr>
          <w:rFonts w:ascii="Garamond" w:hAnsi="Garamond" w:cs="Arial"/>
          <w:color w:val="000000"/>
        </w:rPr>
        <w:t>Fondo</w:t>
      </w:r>
      <w:proofErr w:type="spellEnd"/>
      <w:r w:rsidRPr="00156F48">
        <w:rPr>
          <w:rFonts w:ascii="Garamond" w:hAnsi="Garamond" w:cs="Arial"/>
          <w:color w:val="000000"/>
        </w:rPr>
        <w:t xml:space="preserve"> de Cultura </w:t>
      </w:r>
      <w:proofErr w:type="spellStart"/>
      <w:r w:rsidRPr="00156F48">
        <w:rPr>
          <w:rFonts w:ascii="Garamond" w:hAnsi="Garamond" w:cs="Arial"/>
          <w:color w:val="000000"/>
        </w:rPr>
        <w:t>Económica</w:t>
      </w:r>
      <w:proofErr w:type="spellEnd"/>
      <w:r w:rsidRPr="00156F48">
        <w:rPr>
          <w:rFonts w:ascii="Garamond" w:hAnsi="Garamond" w:cs="Arial"/>
          <w:color w:val="000000"/>
        </w:rPr>
        <w:t>, 1957, pp. 330 y 331</w:t>
      </w:r>
      <w:proofErr w:type="gramStart"/>
      <w:r w:rsidRPr="00156F48">
        <w:rPr>
          <w:rFonts w:ascii="Garamond" w:hAnsi="Garamond" w:cs="Arial"/>
          <w:color w:val="000000"/>
        </w:rPr>
        <w:t>);</w:t>
      </w:r>
      <w:proofErr w:type="gramEnd"/>
      <w:r w:rsidRPr="00156F48">
        <w:rPr>
          <w:rFonts w:ascii="Garamond" w:hAnsi="Garamond" w:cs="Arial"/>
          <w:color w:val="000000"/>
        </w:rPr>
        <w:t xml:space="preserve"> sin embargo, </w:t>
      </w:r>
      <w:proofErr w:type="spellStart"/>
      <w:r w:rsidRPr="00156F48">
        <w:rPr>
          <w:rFonts w:ascii="Garamond" w:hAnsi="Garamond" w:cs="Arial"/>
          <w:color w:val="000000"/>
        </w:rPr>
        <w:t>también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indicó</w:t>
      </w:r>
      <w:proofErr w:type="spellEnd"/>
      <w:r w:rsidRPr="00156F48">
        <w:rPr>
          <w:rFonts w:ascii="Garamond" w:hAnsi="Garamond" w:cs="Arial"/>
          <w:color w:val="000000"/>
        </w:rPr>
        <w:t xml:space="preserve"> que los </w:t>
      </w:r>
      <w:proofErr w:type="spellStart"/>
      <w:r w:rsidRPr="00156F48">
        <w:rPr>
          <w:rFonts w:ascii="Garamond" w:hAnsi="Garamond" w:cs="Arial"/>
          <w:color w:val="000000"/>
        </w:rPr>
        <w:t>tribunales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erigirían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baluartes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Constitución</w:t>
      </w:r>
      <w:proofErr w:type="spellEnd"/>
      <w:r w:rsidRPr="00156F48">
        <w:rPr>
          <w:rFonts w:ascii="Garamond" w:hAnsi="Garamond" w:cs="Arial"/>
          <w:color w:val="000000"/>
        </w:rPr>
        <w:t xml:space="preserve">. En la </w:t>
      </w:r>
      <w:proofErr w:type="spellStart"/>
      <w:r w:rsidRPr="00156F48">
        <w:rPr>
          <w:rFonts w:ascii="Garamond" w:hAnsi="Garamond" w:cs="Arial"/>
          <w:color w:val="000000"/>
        </w:rPr>
        <w:t>nueva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era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la</w:t>
      </w:r>
      <w:proofErr w:type="spellEnd"/>
      <w:r w:rsidRPr="00156F48">
        <w:rPr>
          <w:rFonts w:ascii="Garamond" w:hAnsi="Garamond" w:cs="Arial"/>
          <w:color w:val="000000"/>
        </w:rPr>
        <w:t xml:space="preserve"> que nos </w:t>
      </w:r>
      <w:proofErr w:type="spellStart"/>
      <w:r w:rsidRPr="00156F48">
        <w:rPr>
          <w:rFonts w:ascii="Garamond" w:hAnsi="Garamond" w:cs="Arial"/>
          <w:color w:val="000000"/>
        </w:rPr>
        <w:t>hemos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referido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algunos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gran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enjundia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caracterizaron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imperio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Derecho, la </w:t>
      </w:r>
      <w:proofErr w:type="spellStart"/>
      <w:r w:rsidRPr="00156F48">
        <w:rPr>
          <w:rFonts w:ascii="Garamond" w:hAnsi="Garamond" w:cs="Arial"/>
          <w:color w:val="000000"/>
        </w:rPr>
        <w:t>preponderancia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constitucional</w:t>
      </w:r>
      <w:proofErr w:type="spellEnd"/>
      <w:r w:rsidRPr="00156F48">
        <w:rPr>
          <w:rFonts w:ascii="Garamond" w:hAnsi="Garamond" w:cs="Arial"/>
          <w:color w:val="000000"/>
        </w:rPr>
        <w:t xml:space="preserve"> y el </w:t>
      </w:r>
      <w:proofErr w:type="spellStart"/>
      <w:r w:rsidRPr="00156F48">
        <w:rPr>
          <w:rFonts w:ascii="Garamond" w:hAnsi="Garamond" w:cs="Arial"/>
          <w:color w:val="000000"/>
        </w:rPr>
        <w:t>régimen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libertad</w:t>
      </w:r>
      <w:proofErr w:type="spellEnd"/>
      <w:r w:rsidRPr="00156F48">
        <w:rPr>
          <w:rFonts w:ascii="Garamond" w:hAnsi="Garamond" w:cs="Arial"/>
          <w:color w:val="000000"/>
        </w:rPr>
        <w:t>:</w:t>
      </w:r>
      <w:proofErr w:type="gramEnd"/>
      <w:r w:rsidRPr="00156F48">
        <w:rPr>
          <w:rFonts w:ascii="Garamond" w:hAnsi="Garamond" w:cs="Arial"/>
          <w:color w:val="000000"/>
        </w:rPr>
        <w:t xml:space="preserve"> Coke, Blackstone, Marshall.</w:t>
      </w:r>
    </w:p>
    <w:p w14:paraId="3065BBD1" w14:textId="334AB6D1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proofErr w:type="spellStart"/>
      <w:r w:rsidRPr="00156F48">
        <w:rPr>
          <w:rFonts w:ascii="Garamond" w:hAnsi="Garamond" w:cs="Arial"/>
          <w:color w:val="000000"/>
        </w:rPr>
        <w:t>Actualmente</w:t>
      </w:r>
      <w:proofErr w:type="spellEnd"/>
      <w:r w:rsidRPr="00156F48">
        <w:rPr>
          <w:rFonts w:ascii="Garamond" w:hAnsi="Garamond" w:cs="Arial"/>
          <w:color w:val="000000"/>
        </w:rPr>
        <w:t xml:space="preserve"> se ha </w:t>
      </w:r>
      <w:proofErr w:type="spellStart"/>
      <w:r w:rsidRPr="00156F48">
        <w:rPr>
          <w:rFonts w:ascii="Garamond" w:hAnsi="Garamond" w:cs="Arial"/>
          <w:color w:val="000000"/>
        </w:rPr>
        <w:t>operado</w:t>
      </w:r>
      <w:proofErr w:type="spellEnd"/>
      <w:r w:rsidRPr="00156F48">
        <w:rPr>
          <w:rFonts w:ascii="Garamond" w:hAnsi="Garamond" w:cs="Arial"/>
          <w:color w:val="000000"/>
        </w:rPr>
        <w:t xml:space="preserve">, tanto en el plano </w:t>
      </w:r>
      <w:proofErr w:type="spellStart"/>
      <w:r w:rsidRPr="00156F48">
        <w:rPr>
          <w:rFonts w:ascii="Garamond" w:hAnsi="Garamond" w:cs="Arial"/>
          <w:color w:val="000000"/>
        </w:rPr>
        <w:t>nacional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en el </w:t>
      </w:r>
      <w:proofErr w:type="spellStart"/>
      <w:r w:rsidRPr="00156F48">
        <w:rPr>
          <w:rFonts w:ascii="Garamond" w:hAnsi="Garamond" w:cs="Arial"/>
          <w:color w:val="000000"/>
        </w:rPr>
        <w:t>internacional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verdadera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redistribución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, que </w:t>
      </w:r>
      <w:proofErr w:type="spellStart"/>
      <w:r w:rsidRPr="00156F48">
        <w:rPr>
          <w:rFonts w:ascii="Garamond" w:hAnsi="Garamond" w:cs="Arial"/>
          <w:color w:val="000000"/>
        </w:rPr>
        <w:t>afianza</w:t>
      </w:r>
      <w:proofErr w:type="spellEnd"/>
      <w:r w:rsidRPr="00156F48">
        <w:rPr>
          <w:rFonts w:ascii="Garamond" w:hAnsi="Garamond" w:cs="Arial"/>
          <w:color w:val="000000"/>
        </w:rPr>
        <w:t xml:space="preserve"> a los </w:t>
      </w:r>
      <w:proofErr w:type="spellStart"/>
      <w:r w:rsidRPr="00156F48">
        <w:rPr>
          <w:rFonts w:ascii="Garamond" w:hAnsi="Garamond" w:cs="Arial"/>
          <w:color w:val="000000"/>
        </w:rPr>
        <w:t>órganos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jurisdiccionales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bajo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concepto</w:t>
      </w:r>
      <w:proofErr w:type="spellEnd"/>
      <w:r w:rsidRPr="00156F48">
        <w:rPr>
          <w:rFonts w:ascii="Garamond" w:hAnsi="Garamond" w:cs="Arial"/>
          <w:color w:val="000000"/>
        </w:rPr>
        <w:t xml:space="preserve"> de “control”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pone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salvo</w:t>
      </w:r>
      <w:proofErr w:type="spellEnd"/>
      <w:r w:rsidRPr="00156F48">
        <w:rPr>
          <w:rFonts w:ascii="Garamond" w:hAnsi="Garamond" w:cs="Arial"/>
          <w:color w:val="000000"/>
        </w:rPr>
        <w:t xml:space="preserve"> --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corresponde </w:t>
      </w:r>
      <w:proofErr w:type="spellStart"/>
      <w:r w:rsidRPr="00156F48">
        <w:rPr>
          <w:rFonts w:ascii="Garamond" w:hAnsi="Garamond" w:cs="Arial"/>
          <w:color w:val="000000"/>
        </w:rPr>
        <w:t>hacerlo</w:t>
      </w:r>
      <w:proofErr w:type="spellEnd"/>
      <w:r w:rsidRPr="00156F48">
        <w:rPr>
          <w:rFonts w:ascii="Garamond" w:hAnsi="Garamond" w:cs="Arial"/>
          <w:color w:val="000000"/>
        </w:rPr>
        <w:t xml:space="preserve"> en un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color w:val="000000"/>
        </w:rPr>
        <w:lastRenderedPageBreak/>
        <w:t xml:space="preserve">de Derecho-- las </w:t>
      </w:r>
      <w:proofErr w:type="spellStart"/>
      <w:r w:rsidRPr="00156F48">
        <w:rPr>
          <w:rFonts w:ascii="Garamond" w:hAnsi="Garamond" w:cs="Arial"/>
          <w:color w:val="000000"/>
        </w:rPr>
        <w:t>libertades</w:t>
      </w:r>
      <w:proofErr w:type="spellEnd"/>
      <w:r w:rsidRPr="00156F48">
        <w:rPr>
          <w:rFonts w:ascii="Garamond" w:hAnsi="Garamond" w:cs="Arial"/>
          <w:color w:val="000000"/>
        </w:rPr>
        <w:t xml:space="preserve"> y los derechos de los </w:t>
      </w:r>
      <w:proofErr w:type="spellStart"/>
      <w:r w:rsidRPr="00156F48">
        <w:rPr>
          <w:rFonts w:ascii="Garamond" w:hAnsi="Garamond" w:cs="Arial"/>
          <w:color w:val="000000"/>
        </w:rPr>
        <w:t>individuos</w:t>
      </w:r>
      <w:proofErr w:type="spellEnd"/>
      <w:r w:rsidRPr="00156F48">
        <w:rPr>
          <w:rFonts w:ascii="Garamond" w:hAnsi="Garamond" w:cs="Arial"/>
          <w:color w:val="000000"/>
        </w:rPr>
        <w:t xml:space="preserve">. El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tiene</w:t>
      </w:r>
      <w:proofErr w:type="spellEnd"/>
      <w:r w:rsidRPr="00156F48">
        <w:rPr>
          <w:rFonts w:ascii="Garamond" w:hAnsi="Garamond" w:cs="Arial"/>
          <w:color w:val="000000"/>
        </w:rPr>
        <w:t xml:space="preserve"> en sus </w:t>
      </w:r>
      <w:proofErr w:type="spellStart"/>
      <w:r w:rsidRPr="00156F48">
        <w:rPr>
          <w:rFonts w:ascii="Garamond" w:hAnsi="Garamond" w:cs="Arial"/>
          <w:color w:val="000000"/>
        </w:rPr>
        <w:t>manos</w:t>
      </w:r>
      <w:proofErr w:type="spellEnd"/>
      <w:r w:rsidRPr="00156F48">
        <w:rPr>
          <w:rFonts w:ascii="Garamond" w:hAnsi="Garamond" w:cs="Arial"/>
          <w:color w:val="000000"/>
        </w:rPr>
        <w:t xml:space="preserve"> un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gramStart"/>
      <w:r w:rsidRPr="00156F48">
        <w:rPr>
          <w:rFonts w:ascii="Garamond" w:hAnsi="Garamond" w:cs="Arial"/>
          <w:color w:val="000000"/>
        </w:rPr>
        <w:t>final: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cierra</w:t>
      </w:r>
      <w:proofErr w:type="spellEnd"/>
      <w:r w:rsidRPr="00156F48">
        <w:rPr>
          <w:rFonts w:ascii="Garamond" w:hAnsi="Garamond" w:cs="Arial"/>
          <w:color w:val="000000"/>
        </w:rPr>
        <w:t xml:space="preserve"> los </w:t>
      </w:r>
      <w:proofErr w:type="spellStart"/>
      <w:r w:rsidRPr="00156F48">
        <w:rPr>
          <w:rFonts w:ascii="Garamond" w:hAnsi="Garamond" w:cs="Arial"/>
          <w:color w:val="000000"/>
        </w:rPr>
        <w:t>conflictos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través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decisiones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prevalecen</w:t>
      </w:r>
      <w:proofErr w:type="spellEnd"/>
      <w:r w:rsidRPr="00156F48">
        <w:rPr>
          <w:rFonts w:ascii="Garamond" w:hAnsi="Garamond" w:cs="Arial"/>
          <w:color w:val="000000"/>
        </w:rPr>
        <w:t xml:space="preserve"> sobre las </w:t>
      </w:r>
      <w:proofErr w:type="spellStart"/>
      <w:r w:rsidRPr="00156F48">
        <w:rPr>
          <w:rFonts w:ascii="Garamond" w:hAnsi="Garamond" w:cs="Arial"/>
          <w:color w:val="000000"/>
        </w:rPr>
        <w:t>otras</w:t>
      </w:r>
      <w:proofErr w:type="spellEnd"/>
      <w:r w:rsidRPr="00156F48">
        <w:rPr>
          <w:rFonts w:ascii="Garamond" w:hAnsi="Garamond" w:cs="Arial"/>
          <w:color w:val="000000"/>
        </w:rPr>
        <w:t xml:space="preserve"> instancias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. De </w:t>
      </w:r>
      <w:proofErr w:type="spellStart"/>
      <w:r w:rsidRPr="00156F48">
        <w:rPr>
          <w:rFonts w:ascii="Garamond" w:hAnsi="Garamond" w:cs="Arial"/>
          <w:color w:val="000000"/>
        </w:rPr>
        <w:t>ahí</w:t>
      </w:r>
      <w:proofErr w:type="spellEnd"/>
      <w:r w:rsidRPr="00156F48">
        <w:rPr>
          <w:rFonts w:ascii="Garamond" w:hAnsi="Garamond" w:cs="Arial"/>
          <w:color w:val="000000"/>
        </w:rPr>
        <w:t xml:space="preserve"> que Robert Jackson, </w:t>
      </w:r>
      <w:proofErr w:type="spellStart"/>
      <w:r w:rsidRPr="00156F48">
        <w:rPr>
          <w:rFonts w:ascii="Garamond" w:hAnsi="Garamond" w:cs="Arial"/>
          <w:color w:val="000000"/>
        </w:rPr>
        <w:t>juez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Suprema</w:t>
      </w:r>
      <w:proofErr w:type="spellEnd"/>
      <w:r w:rsidRPr="00156F48">
        <w:rPr>
          <w:rFonts w:ascii="Garamond" w:hAnsi="Garamond" w:cs="Arial"/>
          <w:color w:val="000000"/>
        </w:rPr>
        <w:t xml:space="preserve"> Corte de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Unidos, </w:t>
      </w:r>
      <w:proofErr w:type="spellStart"/>
      <w:r w:rsidRPr="00156F48">
        <w:rPr>
          <w:rFonts w:ascii="Garamond" w:hAnsi="Garamond" w:cs="Arial"/>
          <w:color w:val="000000"/>
        </w:rPr>
        <w:t>pudiera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decir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r w:rsidRPr="00156F48">
        <w:rPr>
          <w:rFonts w:ascii="Garamond" w:hAnsi="Garamond" w:cs="Arial"/>
          <w:i/>
          <w:iCs/>
          <w:color w:val="000000"/>
        </w:rPr>
        <w:t xml:space="preserve">Brown vs Allen, </w:t>
      </w:r>
      <w:r w:rsidRPr="00156F48">
        <w:rPr>
          <w:rFonts w:ascii="Garamond" w:hAnsi="Garamond" w:cs="Arial"/>
          <w:color w:val="000000"/>
        </w:rPr>
        <w:t>(344 U.S. 443 (1953) at 540</w:t>
      </w:r>
      <w:proofErr w:type="gramStart"/>
      <w:r w:rsidRPr="00156F48">
        <w:rPr>
          <w:rFonts w:ascii="Garamond" w:hAnsi="Garamond" w:cs="Arial"/>
          <w:color w:val="000000"/>
        </w:rPr>
        <w:t>):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="00BD065C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  <w:color w:val="000000"/>
        </w:rPr>
        <w:t xml:space="preserve">No </w:t>
      </w:r>
      <w:proofErr w:type="spellStart"/>
      <w:r w:rsidRPr="00156F48">
        <w:rPr>
          <w:rFonts w:ascii="Garamond" w:hAnsi="Garamond" w:cs="Arial"/>
          <w:color w:val="000000"/>
        </w:rPr>
        <w:t>tenemos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última</w:t>
      </w:r>
      <w:proofErr w:type="spellEnd"/>
      <w:r w:rsidRPr="00156F48">
        <w:rPr>
          <w:rFonts w:ascii="Garamond" w:hAnsi="Garamond" w:cs="Arial"/>
          <w:color w:val="000000"/>
        </w:rPr>
        <w:t xml:space="preserve"> palabra porque </w:t>
      </w:r>
      <w:proofErr w:type="spellStart"/>
      <w:r w:rsidRPr="00156F48">
        <w:rPr>
          <w:rFonts w:ascii="Garamond" w:hAnsi="Garamond" w:cs="Arial"/>
          <w:color w:val="000000"/>
        </w:rPr>
        <w:t>seamos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infalibles</w:t>
      </w:r>
      <w:proofErr w:type="spellEnd"/>
      <w:r w:rsidRPr="00156F48">
        <w:rPr>
          <w:rFonts w:ascii="Garamond" w:hAnsi="Garamond" w:cs="Arial"/>
          <w:color w:val="000000"/>
        </w:rPr>
        <w:t xml:space="preserve">, sino </w:t>
      </w:r>
      <w:proofErr w:type="spellStart"/>
      <w:r w:rsidRPr="00156F48">
        <w:rPr>
          <w:rFonts w:ascii="Garamond" w:hAnsi="Garamond" w:cs="Arial"/>
          <w:color w:val="000000"/>
        </w:rPr>
        <w:t>somos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infalibles</w:t>
      </w:r>
      <w:proofErr w:type="spellEnd"/>
      <w:r w:rsidRPr="00156F48">
        <w:rPr>
          <w:rFonts w:ascii="Garamond" w:hAnsi="Garamond" w:cs="Arial"/>
          <w:color w:val="000000"/>
        </w:rPr>
        <w:t xml:space="preserve"> porque </w:t>
      </w:r>
      <w:proofErr w:type="spellStart"/>
      <w:r w:rsidRPr="00156F48">
        <w:rPr>
          <w:rFonts w:ascii="Garamond" w:hAnsi="Garamond" w:cs="Arial"/>
          <w:color w:val="000000"/>
        </w:rPr>
        <w:t>tenemos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última</w:t>
      </w:r>
      <w:proofErr w:type="spellEnd"/>
      <w:r w:rsidRPr="00156F48">
        <w:rPr>
          <w:rFonts w:ascii="Garamond" w:hAnsi="Garamond" w:cs="Arial"/>
          <w:color w:val="000000"/>
        </w:rPr>
        <w:t xml:space="preserve"> palabra</w:t>
      </w:r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. </w:t>
      </w:r>
    </w:p>
    <w:p w14:paraId="27F6E958" w14:textId="41AA09D9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Hoy </w:t>
      </w:r>
      <w:proofErr w:type="spellStart"/>
      <w:r w:rsidRPr="00156F48">
        <w:rPr>
          <w:rFonts w:ascii="Garamond" w:hAnsi="Garamond" w:cs="Arial"/>
          <w:color w:val="000000"/>
        </w:rPr>
        <w:t>día</w:t>
      </w:r>
      <w:proofErr w:type="spellEnd"/>
      <w:r w:rsidRPr="00156F48">
        <w:rPr>
          <w:rFonts w:ascii="Garamond" w:hAnsi="Garamond" w:cs="Arial"/>
          <w:color w:val="000000"/>
        </w:rPr>
        <w:t xml:space="preserve">, el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afronta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desafíos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mayores</w:t>
      </w:r>
      <w:proofErr w:type="spellEnd"/>
      <w:r w:rsidRPr="00156F48">
        <w:rPr>
          <w:rFonts w:ascii="Garamond" w:hAnsi="Garamond" w:cs="Arial"/>
          <w:color w:val="000000"/>
        </w:rPr>
        <w:t>: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="00BD065C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  <w:color w:val="000000"/>
        </w:rPr>
        <w:t xml:space="preserve">la </w:t>
      </w:r>
      <w:proofErr w:type="spellStart"/>
      <w:r w:rsidRPr="00156F48">
        <w:rPr>
          <w:rFonts w:ascii="Garamond" w:hAnsi="Garamond" w:cs="Arial"/>
          <w:color w:val="000000"/>
        </w:rPr>
        <w:t>indeterminación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creciente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ley</w:t>
      </w:r>
      <w:proofErr w:type="spellEnd"/>
      <w:r w:rsidRPr="00156F48">
        <w:rPr>
          <w:rFonts w:ascii="Garamond" w:hAnsi="Garamond" w:cs="Arial"/>
          <w:color w:val="000000"/>
        </w:rPr>
        <w:t xml:space="preserve">, el </w:t>
      </w:r>
      <w:proofErr w:type="spellStart"/>
      <w:r w:rsidRPr="00156F48">
        <w:rPr>
          <w:rFonts w:ascii="Garamond" w:hAnsi="Garamond" w:cs="Arial"/>
          <w:color w:val="000000"/>
        </w:rPr>
        <w:t>aumento</w:t>
      </w:r>
      <w:proofErr w:type="spellEnd"/>
      <w:r w:rsidRPr="00156F48">
        <w:rPr>
          <w:rFonts w:ascii="Garamond" w:hAnsi="Garamond" w:cs="Arial"/>
          <w:color w:val="000000"/>
        </w:rPr>
        <w:t xml:space="preserve"> de las demandas de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, las </w:t>
      </w:r>
      <w:proofErr w:type="spellStart"/>
      <w:r w:rsidRPr="00156F48">
        <w:rPr>
          <w:rFonts w:ascii="Garamond" w:hAnsi="Garamond" w:cs="Arial"/>
          <w:color w:val="000000"/>
        </w:rPr>
        <w:t>mutaciones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intervencionista</w:t>
      </w:r>
      <w:proofErr w:type="spellEnd"/>
      <w:r w:rsidRPr="00156F48">
        <w:rPr>
          <w:rFonts w:ascii="Garamond" w:hAnsi="Garamond" w:cs="Arial"/>
          <w:color w:val="000000"/>
        </w:rPr>
        <w:t xml:space="preserve"> (</w:t>
      </w:r>
      <w:r w:rsidRPr="00156F48">
        <w:rPr>
          <w:rFonts w:ascii="Garamond" w:hAnsi="Garamond" w:cs="Arial"/>
          <w:i/>
          <w:iCs/>
          <w:color w:val="000000"/>
        </w:rPr>
        <w:t>État-providence)</w:t>
      </w:r>
      <w:r w:rsidRPr="00156F48">
        <w:rPr>
          <w:rFonts w:ascii="Garamond" w:hAnsi="Garamond" w:cs="Arial"/>
          <w:color w:val="000000"/>
        </w:rPr>
        <w:t xml:space="preserve"> e </w:t>
      </w:r>
      <w:proofErr w:type="spellStart"/>
      <w:r w:rsidRPr="00156F48">
        <w:rPr>
          <w:rFonts w:ascii="Garamond" w:hAnsi="Garamond" w:cs="Arial"/>
          <w:color w:val="000000"/>
        </w:rPr>
        <w:t>incluso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antagonismo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creciente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valores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, ha </w:t>
      </w:r>
      <w:proofErr w:type="spellStart"/>
      <w:r w:rsidRPr="00156F48">
        <w:rPr>
          <w:rFonts w:ascii="Garamond" w:hAnsi="Garamond" w:cs="Arial"/>
          <w:color w:val="000000"/>
        </w:rPr>
        <w:t>dicho</w:t>
      </w:r>
      <w:proofErr w:type="spellEnd"/>
      <w:r w:rsidRPr="00156F48">
        <w:rPr>
          <w:rFonts w:ascii="Garamond" w:hAnsi="Garamond" w:cs="Arial"/>
          <w:color w:val="000000"/>
        </w:rPr>
        <w:t xml:space="preserve"> Mireille Delmas-Marty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en García </w:t>
      </w:r>
      <w:proofErr w:type="spellStart"/>
      <w:r w:rsidRPr="00156F48">
        <w:rPr>
          <w:rFonts w:ascii="Garamond" w:hAnsi="Garamond" w:cs="Arial"/>
          <w:color w:val="000000"/>
        </w:rPr>
        <w:t>Ramírez</w:t>
      </w:r>
      <w:proofErr w:type="spellEnd"/>
      <w:r w:rsidRPr="00156F48">
        <w:rPr>
          <w:rFonts w:ascii="Garamond" w:hAnsi="Garamond" w:cs="Arial"/>
          <w:color w:val="000000"/>
        </w:rPr>
        <w:t xml:space="preserve">, Sergio, “El </w:t>
      </w:r>
      <w:proofErr w:type="spellStart"/>
      <w:r w:rsidRPr="00156F48">
        <w:rPr>
          <w:rFonts w:ascii="Garamond" w:hAnsi="Garamond" w:cs="Arial"/>
          <w:color w:val="000000"/>
        </w:rPr>
        <w:t>juez</w:t>
      </w:r>
      <w:proofErr w:type="spellEnd"/>
      <w:r w:rsidRPr="00156F48">
        <w:rPr>
          <w:rFonts w:ascii="Garamond" w:hAnsi="Garamond" w:cs="Arial"/>
          <w:color w:val="000000"/>
        </w:rPr>
        <w:t xml:space="preserve">: </w:t>
      </w:r>
      <w:proofErr w:type="spellStart"/>
      <w:r w:rsidRPr="00156F48">
        <w:rPr>
          <w:rFonts w:ascii="Garamond" w:hAnsi="Garamond" w:cs="Arial"/>
          <w:color w:val="000000"/>
        </w:rPr>
        <w:t>condición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misión</w:t>
      </w:r>
      <w:proofErr w:type="spellEnd"/>
      <w:r w:rsidRPr="00156F48">
        <w:rPr>
          <w:rFonts w:ascii="Garamond" w:hAnsi="Garamond" w:cs="Arial"/>
          <w:color w:val="000000"/>
        </w:rPr>
        <w:t xml:space="preserve">”, en </w:t>
      </w:r>
      <w:proofErr w:type="spellStart"/>
      <w:r w:rsidRPr="00156F48">
        <w:rPr>
          <w:rFonts w:ascii="Garamond" w:hAnsi="Garamond" w:cs="Arial"/>
          <w:color w:val="000000"/>
        </w:rPr>
        <w:t>Varios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Cincuenta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años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justicia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administrativa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en la Ciudad de México</w:t>
      </w:r>
      <w:r w:rsidRPr="00156F48">
        <w:rPr>
          <w:rFonts w:ascii="Garamond" w:hAnsi="Garamond" w:cs="Arial"/>
          <w:color w:val="000000"/>
        </w:rPr>
        <w:t xml:space="preserve">, México, Tribunal de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Administrativa</w:t>
      </w:r>
      <w:proofErr w:type="spellEnd"/>
      <w:r w:rsidRPr="00156F48">
        <w:rPr>
          <w:rFonts w:ascii="Garamond" w:hAnsi="Garamond" w:cs="Arial"/>
          <w:color w:val="000000"/>
        </w:rPr>
        <w:t xml:space="preserve">, 2021, p. 26). </w:t>
      </w:r>
      <w:proofErr w:type="spellStart"/>
      <w:r w:rsidRPr="00156F48">
        <w:rPr>
          <w:rFonts w:ascii="Garamond" w:hAnsi="Garamond" w:cs="Arial"/>
          <w:color w:val="000000"/>
        </w:rPr>
        <w:t>Todo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incide</w:t>
      </w:r>
      <w:proofErr w:type="spellEnd"/>
      <w:r w:rsidRPr="00156F48">
        <w:rPr>
          <w:rFonts w:ascii="Garamond" w:hAnsi="Garamond" w:cs="Arial"/>
          <w:color w:val="000000"/>
        </w:rPr>
        <w:t xml:space="preserve"> en la figura, la </w:t>
      </w:r>
      <w:proofErr w:type="spellStart"/>
      <w:r w:rsidRPr="00156F48">
        <w:rPr>
          <w:rFonts w:ascii="Garamond" w:hAnsi="Garamond" w:cs="Arial"/>
          <w:color w:val="000000"/>
        </w:rPr>
        <w:t>misión</w:t>
      </w:r>
      <w:proofErr w:type="spellEnd"/>
      <w:r w:rsidRPr="00156F48">
        <w:rPr>
          <w:rFonts w:ascii="Garamond" w:hAnsi="Garamond" w:cs="Arial"/>
          <w:color w:val="000000"/>
        </w:rPr>
        <w:t xml:space="preserve"> y el </w:t>
      </w:r>
      <w:proofErr w:type="spellStart"/>
      <w:r w:rsidRPr="00156F48">
        <w:rPr>
          <w:rFonts w:ascii="Garamond" w:hAnsi="Garamond" w:cs="Arial"/>
          <w:color w:val="000000"/>
        </w:rPr>
        <w:t>desempeño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favorece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idea</w:t>
      </w:r>
      <w:proofErr w:type="spellEnd"/>
      <w:r w:rsidRPr="00156F48">
        <w:rPr>
          <w:rFonts w:ascii="Garamond" w:hAnsi="Garamond" w:cs="Arial"/>
          <w:color w:val="000000"/>
        </w:rPr>
        <w:t xml:space="preserve"> --con </w:t>
      </w:r>
      <w:proofErr w:type="spellStart"/>
      <w:r w:rsidRPr="00156F48">
        <w:rPr>
          <w:rFonts w:ascii="Garamond" w:hAnsi="Garamond" w:cs="Arial"/>
          <w:color w:val="000000"/>
        </w:rPr>
        <w:t>honda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raíz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múltiples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proyecciones</w:t>
      </w:r>
      <w:proofErr w:type="spellEnd"/>
      <w:r w:rsidRPr="00156F48">
        <w:rPr>
          <w:rFonts w:ascii="Garamond" w:hAnsi="Garamond" w:cs="Arial"/>
          <w:color w:val="000000"/>
        </w:rPr>
        <w:t xml:space="preserve">-- de que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magistratura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debe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proceder</w:t>
      </w:r>
      <w:proofErr w:type="spellEnd"/>
      <w:r w:rsidRPr="00156F48">
        <w:rPr>
          <w:rFonts w:ascii="Garamond" w:hAnsi="Garamond" w:cs="Arial"/>
          <w:color w:val="000000"/>
        </w:rPr>
        <w:t xml:space="preserve"> con la </w:t>
      </w:r>
      <w:proofErr w:type="spellStart"/>
      <w:r w:rsidRPr="00156F48">
        <w:rPr>
          <w:rFonts w:ascii="Garamond" w:hAnsi="Garamond" w:cs="Arial"/>
          <w:color w:val="000000"/>
        </w:rPr>
        <w:t>mayor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concepto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influye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profundamente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color w:val="000000"/>
        </w:rPr>
        <w:t>designación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quienes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asumen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y en la </w:t>
      </w:r>
      <w:proofErr w:type="spellStart"/>
      <w:r w:rsidRPr="00156F48">
        <w:rPr>
          <w:rFonts w:ascii="Garamond" w:hAnsi="Garamond" w:cs="Arial"/>
          <w:color w:val="000000"/>
        </w:rPr>
        <w:t>relación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éstos</w:t>
      </w:r>
      <w:proofErr w:type="spellEnd"/>
      <w:r w:rsidRPr="00156F48">
        <w:rPr>
          <w:rFonts w:ascii="Garamond" w:hAnsi="Garamond" w:cs="Arial"/>
          <w:color w:val="000000"/>
        </w:rPr>
        <w:t xml:space="preserve"> con </w:t>
      </w:r>
      <w:proofErr w:type="spellStart"/>
      <w:r w:rsidRPr="00156F48">
        <w:rPr>
          <w:rFonts w:ascii="Garamond" w:hAnsi="Garamond" w:cs="Arial"/>
          <w:color w:val="000000"/>
        </w:rPr>
        <w:t>otras</w:t>
      </w:r>
      <w:proofErr w:type="spellEnd"/>
      <w:r w:rsidRPr="00156F48">
        <w:rPr>
          <w:rFonts w:ascii="Garamond" w:hAnsi="Garamond" w:cs="Arial"/>
          <w:color w:val="000000"/>
        </w:rPr>
        <w:t xml:space="preserve"> instancias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>.</w:t>
      </w:r>
    </w:p>
    <w:p w14:paraId="4F2A374A" w14:textId="6124D802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Entre las </w:t>
      </w:r>
      <w:proofErr w:type="spellStart"/>
      <w:r w:rsidRPr="00156F48">
        <w:rPr>
          <w:rFonts w:ascii="Garamond" w:hAnsi="Garamond" w:cs="Arial"/>
          <w:color w:val="000000"/>
        </w:rPr>
        <w:t>tareas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moderno</w:t>
      </w:r>
      <w:proofErr w:type="spellEnd"/>
      <w:r w:rsidRPr="00156F48">
        <w:rPr>
          <w:rFonts w:ascii="Garamond" w:hAnsi="Garamond" w:cs="Arial"/>
          <w:color w:val="000000"/>
        </w:rPr>
        <w:t xml:space="preserve"> figura, </w:t>
      </w:r>
      <w:proofErr w:type="spellStart"/>
      <w:r w:rsidRPr="00156F48">
        <w:rPr>
          <w:rFonts w:ascii="Garamond" w:hAnsi="Garamond" w:cs="Arial"/>
          <w:color w:val="000000"/>
        </w:rPr>
        <w:t>señaladamente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condición</w:t>
      </w:r>
      <w:proofErr w:type="spellEnd"/>
      <w:r w:rsidRPr="00156F48">
        <w:rPr>
          <w:rFonts w:ascii="Garamond" w:hAnsi="Garamond" w:cs="Arial"/>
          <w:color w:val="000000"/>
        </w:rPr>
        <w:t xml:space="preserve"> de garante de los derechos </w:t>
      </w:r>
      <w:proofErr w:type="spellStart"/>
      <w:r w:rsidRPr="00156F48">
        <w:rPr>
          <w:rFonts w:ascii="Garamond" w:hAnsi="Garamond" w:cs="Arial"/>
          <w:color w:val="000000"/>
        </w:rPr>
        <w:t>humanos</w:t>
      </w:r>
      <w:proofErr w:type="spellEnd"/>
      <w:r w:rsidRPr="00156F48">
        <w:rPr>
          <w:rFonts w:ascii="Garamond" w:hAnsi="Garamond" w:cs="Arial"/>
          <w:color w:val="000000"/>
        </w:rPr>
        <w:t xml:space="preserve">. La </w:t>
      </w:r>
      <w:proofErr w:type="spellStart"/>
      <w:r w:rsidRPr="00156F48">
        <w:rPr>
          <w:rFonts w:ascii="Garamond" w:hAnsi="Garamond" w:cs="Arial"/>
          <w:color w:val="000000"/>
        </w:rPr>
        <w:t>Declaración</w:t>
      </w:r>
      <w:proofErr w:type="spellEnd"/>
      <w:r w:rsidRPr="00156F48">
        <w:rPr>
          <w:rFonts w:ascii="Garamond" w:hAnsi="Garamond" w:cs="Arial"/>
          <w:color w:val="000000"/>
        </w:rPr>
        <w:t xml:space="preserve"> y el </w:t>
      </w:r>
      <w:proofErr w:type="spellStart"/>
      <w:r w:rsidRPr="00156F48">
        <w:rPr>
          <w:rFonts w:ascii="Garamond" w:hAnsi="Garamond" w:cs="Arial"/>
          <w:color w:val="000000"/>
        </w:rPr>
        <w:t>Programa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Acción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Viena</w:t>
      </w:r>
      <w:proofErr w:type="spellEnd"/>
      <w:r w:rsidRPr="00156F48">
        <w:rPr>
          <w:rFonts w:ascii="Garamond" w:hAnsi="Garamond" w:cs="Arial"/>
          <w:color w:val="000000"/>
        </w:rPr>
        <w:t xml:space="preserve"> de 1993 (</w:t>
      </w:r>
      <w:proofErr w:type="spellStart"/>
      <w:r w:rsidRPr="00156F48">
        <w:rPr>
          <w:rFonts w:ascii="Garamond" w:hAnsi="Garamond" w:cs="Arial"/>
          <w:color w:val="000000"/>
        </w:rPr>
        <w:t>punto</w:t>
      </w:r>
      <w:proofErr w:type="spellEnd"/>
      <w:r w:rsidRPr="00156F48">
        <w:rPr>
          <w:rFonts w:ascii="Garamond" w:hAnsi="Garamond" w:cs="Arial"/>
          <w:color w:val="000000"/>
        </w:rPr>
        <w:t xml:space="preserve"> 27), </w:t>
      </w:r>
      <w:proofErr w:type="spellStart"/>
      <w:r w:rsidRPr="00156F48">
        <w:rPr>
          <w:rFonts w:ascii="Garamond" w:hAnsi="Garamond" w:cs="Arial"/>
          <w:color w:val="000000"/>
        </w:rPr>
        <w:t>hace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notar</w:t>
      </w:r>
      <w:proofErr w:type="spellEnd"/>
      <w:r w:rsidRPr="00156F48">
        <w:rPr>
          <w:rFonts w:ascii="Garamond" w:hAnsi="Garamond" w:cs="Arial"/>
          <w:color w:val="000000"/>
        </w:rPr>
        <w:t xml:space="preserve"> que para la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humanos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democratización</w:t>
      </w:r>
      <w:proofErr w:type="spellEnd"/>
      <w:r w:rsidRPr="00156F48">
        <w:rPr>
          <w:rFonts w:ascii="Garamond" w:hAnsi="Garamond" w:cs="Arial"/>
          <w:color w:val="000000"/>
        </w:rPr>
        <w:t xml:space="preserve"> y el </w:t>
      </w:r>
      <w:proofErr w:type="spellStart"/>
      <w:r w:rsidRPr="00156F48">
        <w:rPr>
          <w:rFonts w:ascii="Garamond" w:hAnsi="Garamond" w:cs="Arial"/>
          <w:color w:val="000000"/>
        </w:rPr>
        <w:t>desarrollo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sostenible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son</w:t>
      </w:r>
      <w:proofErr w:type="spellEnd"/>
      <w:r w:rsidRPr="00156F48">
        <w:rPr>
          <w:rFonts w:ascii="Garamond" w:hAnsi="Garamond" w:cs="Arial"/>
          <w:color w:val="000000"/>
        </w:rPr>
        <w:t xml:space="preserve"> indispensables el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y la </w:t>
      </w:r>
      <w:proofErr w:type="spellStart"/>
      <w:r w:rsidRPr="00156F48">
        <w:rPr>
          <w:rFonts w:ascii="Garamond" w:hAnsi="Garamond" w:cs="Arial"/>
          <w:color w:val="000000"/>
        </w:rPr>
        <w:t>abogacía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independientes</w:t>
      </w:r>
      <w:proofErr w:type="spellEnd"/>
      <w:r w:rsidRPr="00156F48">
        <w:rPr>
          <w:rFonts w:ascii="Garamond" w:hAnsi="Garamond" w:cs="Arial"/>
          <w:color w:val="000000"/>
        </w:rPr>
        <w:t xml:space="preserve">. Las </w:t>
      </w:r>
      <w:proofErr w:type="spellStart"/>
      <w:r w:rsidRPr="00156F48">
        <w:rPr>
          <w:rFonts w:ascii="Garamond" w:hAnsi="Garamond" w:cs="Arial"/>
          <w:color w:val="000000"/>
        </w:rPr>
        <w:t>Naciones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Unidas</w:t>
      </w:r>
      <w:proofErr w:type="spellEnd"/>
      <w:r w:rsidRPr="00156F48">
        <w:rPr>
          <w:rFonts w:ascii="Garamond" w:hAnsi="Garamond" w:cs="Arial"/>
          <w:color w:val="000000"/>
        </w:rPr>
        <w:t xml:space="preserve"> deben </w:t>
      </w:r>
      <w:proofErr w:type="spellStart"/>
      <w:r w:rsidRPr="00156F48">
        <w:rPr>
          <w:rFonts w:ascii="Garamond" w:hAnsi="Garamond" w:cs="Arial"/>
          <w:color w:val="000000"/>
        </w:rPr>
        <w:t>alentar</w:t>
      </w:r>
      <w:proofErr w:type="spellEnd"/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administración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fuerte</w:t>
      </w:r>
      <w:proofErr w:type="spellEnd"/>
      <w:r w:rsidRPr="00156F48">
        <w:rPr>
          <w:rFonts w:ascii="Garamond" w:hAnsi="Garamond" w:cs="Arial"/>
          <w:color w:val="000000"/>
        </w:rPr>
        <w:t xml:space="preserve"> e </w:t>
      </w:r>
      <w:proofErr w:type="spellStart"/>
      <w:r w:rsidRPr="00156F48">
        <w:rPr>
          <w:rFonts w:ascii="Garamond" w:hAnsi="Garamond" w:cs="Arial"/>
          <w:color w:val="000000"/>
        </w:rPr>
        <w:t>independiente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punto</w:t>
      </w:r>
      <w:proofErr w:type="spellEnd"/>
      <w:r w:rsidRPr="00156F48">
        <w:rPr>
          <w:rFonts w:ascii="Garamond" w:hAnsi="Garamond" w:cs="Arial"/>
          <w:color w:val="000000"/>
        </w:rPr>
        <w:t xml:space="preserve"> 27). A su </w:t>
      </w:r>
      <w:proofErr w:type="spellStart"/>
      <w:r w:rsidRPr="00156F48">
        <w:rPr>
          <w:rFonts w:ascii="Garamond" w:hAnsi="Garamond" w:cs="Arial"/>
          <w:color w:val="000000"/>
        </w:rPr>
        <w:t>vez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Comisión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Interamericana</w:t>
      </w:r>
      <w:proofErr w:type="spellEnd"/>
      <w:r w:rsidRPr="00156F48">
        <w:rPr>
          <w:rFonts w:ascii="Garamond" w:hAnsi="Garamond" w:cs="Arial"/>
          <w:color w:val="000000"/>
        </w:rPr>
        <w:t xml:space="preserve"> de Derechos Humanos </w:t>
      </w:r>
      <w:proofErr w:type="spellStart"/>
      <w:r w:rsidRPr="00156F48">
        <w:rPr>
          <w:rFonts w:ascii="Garamond" w:hAnsi="Garamond" w:cs="Arial"/>
          <w:color w:val="000000"/>
        </w:rPr>
        <w:t>considera</w:t>
      </w:r>
      <w:proofErr w:type="spellEnd"/>
      <w:r w:rsidRPr="00156F48">
        <w:rPr>
          <w:rFonts w:ascii="Garamond" w:hAnsi="Garamond" w:cs="Arial"/>
          <w:color w:val="000000"/>
        </w:rPr>
        <w:t xml:space="preserve"> que los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son los principales </w:t>
      </w:r>
      <w:proofErr w:type="spellStart"/>
      <w:r w:rsidRPr="00156F48">
        <w:rPr>
          <w:rFonts w:ascii="Garamond" w:hAnsi="Garamond" w:cs="Arial"/>
          <w:color w:val="000000"/>
        </w:rPr>
        <w:t>actores</w:t>
      </w:r>
      <w:proofErr w:type="spellEnd"/>
      <w:r w:rsidRPr="00156F48">
        <w:rPr>
          <w:rFonts w:ascii="Garamond" w:hAnsi="Garamond" w:cs="Arial"/>
          <w:color w:val="000000"/>
        </w:rPr>
        <w:t xml:space="preserve"> para la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humanos</w:t>
      </w:r>
      <w:proofErr w:type="spellEnd"/>
      <w:r w:rsidRPr="00156F48">
        <w:rPr>
          <w:rFonts w:ascii="Garamond" w:hAnsi="Garamond" w:cs="Arial"/>
          <w:color w:val="000000"/>
        </w:rPr>
        <w:t xml:space="preserve"> en un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de Derecho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“</w:t>
      </w:r>
      <w:proofErr w:type="spellStart"/>
      <w:r w:rsidRPr="00156F48">
        <w:rPr>
          <w:rFonts w:ascii="Garamond" w:hAnsi="Garamond" w:cs="Arial"/>
          <w:color w:val="000000"/>
        </w:rPr>
        <w:t>contralores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convencionalidad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constitucionalidad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legalidad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proofErr w:type="gramEnd"/>
      <w:r w:rsidRPr="00156F48">
        <w:rPr>
          <w:rFonts w:ascii="Garamond" w:hAnsi="Garamond" w:cs="Arial"/>
          <w:color w:val="000000"/>
        </w:rPr>
        <w:t xml:space="preserve"> (CIDH,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Garantías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para la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independencia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las y los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operadores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, 5 de </w:t>
      </w:r>
      <w:proofErr w:type="spellStart"/>
      <w:r w:rsidRPr="00156F48">
        <w:rPr>
          <w:rFonts w:ascii="Garamond" w:hAnsi="Garamond" w:cs="Arial"/>
          <w:color w:val="000000"/>
        </w:rPr>
        <w:t>diciembre</w:t>
      </w:r>
      <w:proofErr w:type="spellEnd"/>
      <w:r w:rsidRPr="00156F48">
        <w:rPr>
          <w:rFonts w:ascii="Garamond" w:hAnsi="Garamond" w:cs="Arial"/>
          <w:color w:val="000000"/>
        </w:rPr>
        <w:t xml:space="preserve"> de 2013,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16).</w:t>
      </w:r>
    </w:p>
    <w:p w14:paraId="5D829B22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Las </w:t>
      </w:r>
      <w:proofErr w:type="spellStart"/>
      <w:r w:rsidRPr="00156F48">
        <w:rPr>
          <w:rFonts w:ascii="Garamond" w:hAnsi="Garamond" w:cs="Arial"/>
          <w:color w:val="000000"/>
        </w:rPr>
        <w:t>Constituciones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latinoamericanas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suelen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referirse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dato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separación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división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distribución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porción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modelo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constitucional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construido</w:t>
      </w:r>
      <w:proofErr w:type="spellEnd"/>
      <w:r w:rsidRPr="00156F48">
        <w:rPr>
          <w:rFonts w:ascii="Garamond" w:hAnsi="Garamond" w:cs="Arial"/>
          <w:color w:val="000000"/>
        </w:rPr>
        <w:t xml:space="preserve"> para el </w:t>
      </w:r>
      <w:proofErr w:type="spellStart"/>
      <w:r w:rsidRPr="00156F48">
        <w:rPr>
          <w:rFonts w:ascii="Garamond" w:hAnsi="Garamond" w:cs="Arial"/>
          <w:color w:val="000000"/>
        </w:rPr>
        <w:t>respeto</w:t>
      </w:r>
      <w:proofErr w:type="spellEnd"/>
      <w:r w:rsidRPr="00156F48">
        <w:rPr>
          <w:rFonts w:ascii="Garamond" w:hAnsi="Garamond" w:cs="Arial"/>
          <w:color w:val="000000"/>
        </w:rPr>
        <w:t xml:space="preserve"> y la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humanos</w:t>
      </w:r>
      <w:proofErr w:type="spellEnd"/>
      <w:r w:rsidRPr="00156F48">
        <w:rPr>
          <w:rFonts w:ascii="Garamond" w:hAnsi="Garamond" w:cs="Arial"/>
          <w:color w:val="000000"/>
        </w:rPr>
        <w:t xml:space="preserve">. En las </w:t>
      </w:r>
      <w:proofErr w:type="spellStart"/>
      <w:r w:rsidRPr="00156F48">
        <w:rPr>
          <w:rFonts w:ascii="Garamond" w:hAnsi="Garamond" w:cs="Arial"/>
          <w:color w:val="000000"/>
        </w:rPr>
        <w:t>leyes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supremas</w:t>
      </w:r>
      <w:proofErr w:type="spellEnd"/>
      <w:r w:rsidRPr="00156F48">
        <w:rPr>
          <w:rFonts w:ascii="Garamond" w:hAnsi="Garamond" w:cs="Arial"/>
          <w:color w:val="000000"/>
        </w:rPr>
        <w:t xml:space="preserve"> de varias </w:t>
      </w:r>
      <w:proofErr w:type="spellStart"/>
      <w:r w:rsidRPr="00156F48">
        <w:rPr>
          <w:rFonts w:ascii="Garamond" w:hAnsi="Garamond" w:cs="Arial"/>
          <w:color w:val="000000"/>
        </w:rPr>
        <w:t>naciones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América</w:t>
      </w:r>
      <w:proofErr w:type="spellEnd"/>
      <w:r w:rsidRPr="00156F48">
        <w:rPr>
          <w:rFonts w:ascii="Garamond" w:hAnsi="Garamond" w:cs="Arial"/>
          <w:color w:val="000000"/>
        </w:rPr>
        <w:t xml:space="preserve"> Latina, </w:t>
      </w:r>
      <w:proofErr w:type="spellStart"/>
      <w:r w:rsidRPr="00156F48">
        <w:rPr>
          <w:rFonts w:ascii="Garamond" w:hAnsi="Garamond" w:cs="Arial"/>
          <w:color w:val="000000"/>
        </w:rPr>
        <w:t>emitidas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renovadas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color w:val="000000"/>
        </w:rPr>
        <w:t>última</w:t>
      </w:r>
      <w:proofErr w:type="spellEnd"/>
      <w:r w:rsidRPr="00156F48">
        <w:rPr>
          <w:rFonts w:ascii="Garamond" w:hAnsi="Garamond" w:cs="Arial"/>
          <w:color w:val="000000"/>
        </w:rPr>
        <w:t xml:space="preserve"> parte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siglo</w:t>
      </w:r>
      <w:proofErr w:type="spellEnd"/>
      <w:r w:rsidRPr="00156F48">
        <w:rPr>
          <w:rFonts w:ascii="Garamond" w:hAnsi="Garamond" w:cs="Arial"/>
          <w:color w:val="000000"/>
        </w:rPr>
        <w:t xml:space="preserve"> XX y la primera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XXI, se </w:t>
      </w:r>
      <w:proofErr w:type="spellStart"/>
      <w:r w:rsidRPr="00156F48">
        <w:rPr>
          <w:rFonts w:ascii="Garamond" w:hAnsi="Garamond" w:cs="Arial"/>
          <w:color w:val="000000"/>
        </w:rPr>
        <w:t>recogen</w:t>
      </w:r>
      <w:proofErr w:type="spellEnd"/>
      <w:r w:rsidRPr="00156F48">
        <w:rPr>
          <w:rFonts w:ascii="Garamond" w:hAnsi="Garamond" w:cs="Arial"/>
          <w:color w:val="000000"/>
        </w:rPr>
        <w:t xml:space="preserve"> los grandes </w:t>
      </w:r>
      <w:proofErr w:type="spellStart"/>
      <w:r w:rsidRPr="00156F48">
        <w:rPr>
          <w:rFonts w:ascii="Garamond" w:hAnsi="Garamond" w:cs="Arial"/>
          <w:color w:val="000000"/>
        </w:rPr>
        <w:t>temas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concernientes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: la </w:t>
      </w:r>
      <w:proofErr w:type="spellStart"/>
      <w:r w:rsidRPr="00156F48">
        <w:rPr>
          <w:rFonts w:ascii="Garamond" w:hAnsi="Garamond" w:cs="Arial"/>
          <w:color w:val="000000"/>
        </w:rPr>
        <w:t>aludida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separación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proclamación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organización</w:t>
      </w:r>
      <w:proofErr w:type="spellEnd"/>
      <w:r w:rsidRPr="00156F48">
        <w:rPr>
          <w:rFonts w:ascii="Garamond" w:hAnsi="Garamond" w:cs="Arial"/>
          <w:color w:val="000000"/>
        </w:rPr>
        <w:t xml:space="preserve"> de este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(con instancias de </w:t>
      </w:r>
      <w:proofErr w:type="spellStart"/>
      <w:r w:rsidRPr="00156F48">
        <w:rPr>
          <w:rFonts w:ascii="Garamond" w:hAnsi="Garamond" w:cs="Arial"/>
          <w:color w:val="000000"/>
        </w:rPr>
        <w:t>jurisdicción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administración</w:t>
      </w:r>
      <w:proofErr w:type="spellEnd"/>
      <w:r w:rsidRPr="00156F48">
        <w:rPr>
          <w:rFonts w:ascii="Garamond" w:hAnsi="Garamond" w:cs="Arial"/>
          <w:color w:val="000000"/>
        </w:rPr>
        <w:t xml:space="preserve">), </w:t>
      </w:r>
      <w:proofErr w:type="spellStart"/>
      <w:r w:rsidRPr="00156F48">
        <w:rPr>
          <w:rFonts w:ascii="Garamond" w:hAnsi="Garamond" w:cs="Arial"/>
          <w:color w:val="000000"/>
        </w:rPr>
        <w:t>designaciones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duración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remoción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depositarios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atribuciones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jurisdiccionales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inamovilidad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estabilidad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económica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</w:p>
    <w:p w14:paraId="1BC41555" w14:textId="079C0831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Del </w:t>
      </w:r>
      <w:proofErr w:type="spellStart"/>
      <w:r w:rsidRPr="00156F48">
        <w:rPr>
          <w:rFonts w:ascii="Garamond" w:hAnsi="Garamond" w:cs="Arial"/>
          <w:color w:val="000000"/>
        </w:rPr>
        <w:t>mismo</w:t>
      </w:r>
      <w:proofErr w:type="spellEnd"/>
      <w:r w:rsidRPr="00156F48">
        <w:rPr>
          <w:rFonts w:ascii="Garamond" w:hAnsi="Garamond" w:cs="Arial"/>
          <w:color w:val="000000"/>
        </w:rPr>
        <w:t xml:space="preserve"> modo, el </w:t>
      </w:r>
      <w:proofErr w:type="spellStart"/>
      <w:r w:rsidRPr="00156F48">
        <w:rPr>
          <w:rFonts w:ascii="Garamond" w:hAnsi="Garamond" w:cs="Arial"/>
          <w:color w:val="000000"/>
        </w:rPr>
        <w:t>orden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internacional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humanos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reconoce</w:t>
      </w:r>
      <w:proofErr w:type="spellEnd"/>
      <w:r w:rsidRPr="00156F48">
        <w:rPr>
          <w:rFonts w:ascii="Garamond" w:hAnsi="Garamond" w:cs="Arial"/>
          <w:color w:val="000000"/>
        </w:rPr>
        <w:t xml:space="preserve"> que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constituye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de doble </w:t>
      </w:r>
      <w:proofErr w:type="gramStart"/>
      <w:r w:rsidRPr="00156F48">
        <w:rPr>
          <w:rFonts w:ascii="Garamond" w:hAnsi="Garamond" w:cs="Arial"/>
          <w:color w:val="000000"/>
        </w:rPr>
        <w:t>signo:</w:t>
      </w:r>
      <w:proofErr w:type="gramEnd"/>
      <w:r w:rsidRPr="00156F48">
        <w:rPr>
          <w:rFonts w:ascii="Garamond" w:hAnsi="Garamond" w:cs="Arial"/>
          <w:color w:val="000000"/>
        </w:rPr>
        <w:t xml:space="preserve"> para el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de su </w:t>
      </w:r>
      <w:proofErr w:type="spellStart"/>
      <w:r w:rsidRPr="00156F48">
        <w:rPr>
          <w:rFonts w:ascii="Garamond" w:hAnsi="Garamond" w:cs="Arial"/>
          <w:color w:val="000000"/>
        </w:rPr>
        <w:t>desempeño</w:t>
      </w:r>
      <w:proofErr w:type="spellEnd"/>
      <w:r w:rsidRPr="00156F48">
        <w:rPr>
          <w:rFonts w:ascii="Garamond" w:hAnsi="Garamond" w:cs="Arial"/>
          <w:color w:val="000000"/>
        </w:rPr>
        <w:t xml:space="preserve">, y para los </w:t>
      </w:r>
      <w:proofErr w:type="spellStart"/>
      <w:r w:rsidRPr="00156F48">
        <w:rPr>
          <w:rFonts w:ascii="Garamond" w:hAnsi="Garamond" w:cs="Arial"/>
          <w:color w:val="000000"/>
        </w:rPr>
        <w:t>individuos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atención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salvaguarda</w:t>
      </w:r>
      <w:proofErr w:type="spellEnd"/>
      <w:r w:rsidRPr="00156F48">
        <w:rPr>
          <w:rFonts w:ascii="Garamond" w:hAnsi="Garamond" w:cs="Arial"/>
          <w:color w:val="000000"/>
        </w:rPr>
        <w:t xml:space="preserve"> de sus derechos, </w:t>
      </w:r>
      <w:proofErr w:type="spellStart"/>
      <w:r w:rsidRPr="00156F48">
        <w:rPr>
          <w:rFonts w:ascii="Garamond" w:hAnsi="Garamond" w:cs="Arial"/>
          <w:color w:val="000000"/>
        </w:rPr>
        <w:t>reconocimiento</w:t>
      </w:r>
      <w:proofErr w:type="spellEnd"/>
      <w:r w:rsidRPr="00156F48">
        <w:rPr>
          <w:rFonts w:ascii="Garamond" w:hAnsi="Garamond" w:cs="Arial"/>
          <w:color w:val="000000"/>
        </w:rPr>
        <w:t xml:space="preserve"> al que nos </w:t>
      </w:r>
      <w:proofErr w:type="spellStart"/>
      <w:r w:rsidRPr="00156F48">
        <w:rPr>
          <w:rFonts w:ascii="Garamond" w:hAnsi="Garamond" w:cs="Arial"/>
          <w:color w:val="000000"/>
        </w:rPr>
        <w:t>referiremos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adelante</w:t>
      </w:r>
      <w:proofErr w:type="spellEnd"/>
      <w:r w:rsidRPr="00156F48">
        <w:rPr>
          <w:rFonts w:ascii="Garamond" w:hAnsi="Garamond" w:cs="Arial"/>
          <w:color w:val="000000"/>
        </w:rPr>
        <w:t xml:space="preserve">. De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suerte</w:t>
      </w:r>
      <w:proofErr w:type="spellEnd"/>
      <w:r w:rsidRPr="00156F48">
        <w:rPr>
          <w:rFonts w:ascii="Garamond" w:hAnsi="Garamond" w:cs="Arial"/>
          <w:color w:val="000000"/>
        </w:rPr>
        <w:t xml:space="preserve">, la Corte </w:t>
      </w:r>
      <w:proofErr w:type="spellStart"/>
      <w:r w:rsidRPr="00156F48">
        <w:rPr>
          <w:rFonts w:ascii="Garamond" w:hAnsi="Garamond" w:cs="Arial"/>
          <w:color w:val="000000"/>
        </w:rPr>
        <w:t>Interamericana</w:t>
      </w:r>
      <w:proofErr w:type="spellEnd"/>
      <w:r w:rsidRPr="00156F48">
        <w:rPr>
          <w:rFonts w:ascii="Garamond" w:hAnsi="Garamond" w:cs="Arial"/>
          <w:color w:val="000000"/>
        </w:rPr>
        <w:t xml:space="preserve"> ha </w:t>
      </w:r>
      <w:proofErr w:type="spellStart"/>
      <w:r w:rsidRPr="00156F48">
        <w:rPr>
          <w:rFonts w:ascii="Garamond" w:hAnsi="Garamond" w:cs="Arial"/>
          <w:color w:val="000000"/>
        </w:rPr>
        <w:t>destacado</w:t>
      </w:r>
      <w:proofErr w:type="spellEnd"/>
      <w:r w:rsidRPr="00156F48">
        <w:rPr>
          <w:rFonts w:ascii="Garamond" w:hAnsi="Garamond" w:cs="Arial"/>
          <w:color w:val="000000"/>
        </w:rPr>
        <w:t xml:space="preserve"> que</w:t>
      </w:r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  <w:color w:val="000000"/>
        </w:rPr>
        <w:t>los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, a </w:t>
      </w:r>
      <w:proofErr w:type="spellStart"/>
      <w:r w:rsidRPr="00156F48">
        <w:rPr>
          <w:rFonts w:ascii="Garamond" w:hAnsi="Garamond" w:cs="Arial"/>
          <w:color w:val="000000"/>
        </w:rPr>
        <w:t>diferencia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demás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funcionarios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públicos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cuentan</w:t>
      </w:r>
      <w:proofErr w:type="spellEnd"/>
      <w:r w:rsidRPr="00156F48">
        <w:rPr>
          <w:rFonts w:ascii="Garamond" w:hAnsi="Garamond" w:cs="Arial"/>
          <w:color w:val="000000"/>
        </w:rPr>
        <w:t xml:space="preserve"> con </w:t>
      </w:r>
      <w:proofErr w:type="spellStart"/>
      <w:r w:rsidRPr="00156F48">
        <w:rPr>
          <w:rFonts w:ascii="Garamond" w:hAnsi="Garamond" w:cs="Arial"/>
          <w:color w:val="000000"/>
        </w:rPr>
        <w:t>garantías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específicas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debido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necesaria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Caso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Tribunal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Constitucional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(Camba Campos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)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,</w:t>
      </w:r>
      <w:r w:rsidRPr="00156F48">
        <w:rPr>
          <w:rFonts w:ascii="Garamond" w:hAnsi="Garamond" w:cs="Arial"/>
          <w:color w:val="000000"/>
        </w:rPr>
        <w:t xml:space="preserve"> sentencia de 28 de </w:t>
      </w:r>
      <w:proofErr w:type="spellStart"/>
      <w:r w:rsidRPr="00156F48">
        <w:rPr>
          <w:rFonts w:ascii="Garamond" w:hAnsi="Garamond" w:cs="Arial"/>
          <w:color w:val="000000"/>
        </w:rPr>
        <w:t>agosto</w:t>
      </w:r>
      <w:proofErr w:type="spellEnd"/>
      <w:r w:rsidRPr="00156F48">
        <w:rPr>
          <w:rFonts w:ascii="Garamond" w:hAnsi="Garamond" w:cs="Arial"/>
          <w:color w:val="000000"/>
        </w:rPr>
        <w:t xml:space="preserve"> de 2013,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188).</w:t>
      </w:r>
    </w:p>
    <w:p w14:paraId="766A9659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su </w:t>
      </w:r>
      <w:proofErr w:type="spellStart"/>
      <w:r w:rsidRPr="00156F48">
        <w:rPr>
          <w:rFonts w:ascii="Garamond" w:hAnsi="Garamond" w:cs="Arial"/>
          <w:color w:val="000000"/>
        </w:rPr>
        <w:t>jurisprudencia</w:t>
      </w:r>
      <w:proofErr w:type="spellEnd"/>
      <w:r w:rsidRPr="00156F48">
        <w:rPr>
          <w:rFonts w:ascii="Garamond" w:hAnsi="Garamond" w:cs="Arial"/>
          <w:color w:val="000000"/>
        </w:rPr>
        <w:t xml:space="preserve">, el Tribunal de San José ha </w:t>
      </w:r>
      <w:proofErr w:type="spellStart"/>
      <w:r w:rsidRPr="00156F48">
        <w:rPr>
          <w:rFonts w:ascii="Garamond" w:hAnsi="Garamond" w:cs="Arial"/>
          <w:color w:val="000000"/>
        </w:rPr>
        <w:t>acogido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criterios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diversos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instrumentos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internacionales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coinciden</w:t>
      </w:r>
      <w:proofErr w:type="spellEnd"/>
      <w:r w:rsidRPr="00156F48">
        <w:rPr>
          <w:rFonts w:ascii="Garamond" w:hAnsi="Garamond" w:cs="Arial"/>
          <w:color w:val="000000"/>
        </w:rPr>
        <w:t xml:space="preserve"> en el </w:t>
      </w:r>
      <w:proofErr w:type="spellStart"/>
      <w:r w:rsidRPr="00156F48">
        <w:rPr>
          <w:rFonts w:ascii="Garamond" w:hAnsi="Garamond" w:cs="Arial"/>
          <w:color w:val="000000"/>
        </w:rPr>
        <w:t>requerimiento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y en los </w:t>
      </w:r>
      <w:proofErr w:type="spellStart"/>
      <w:r w:rsidRPr="00156F48">
        <w:rPr>
          <w:rFonts w:ascii="Garamond" w:hAnsi="Garamond" w:cs="Arial"/>
          <w:color w:val="000000"/>
        </w:rPr>
        <w:t>medios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asegurarla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fortalecerla</w:t>
      </w:r>
      <w:proofErr w:type="spellEnd"/>
      <w:r w:rsidRPr="00156F48">
        <w:rPr>
          <w:rFonts w:ascii="Garamond" w:hAnsi="Garamond" w:cs="Arial"/>
          <w:color w:val="000000"/>
        </w:rPr>
        <w:t xml:space="preserve">. En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dirección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hallan</w:t>
      </w:r>
      <w:proofErr w:type="spellEnd"/>
      <w:r w:rsidRPr="00156F48">
        <w:rPr>
          <w:rFonts w:ascii="Garamond" w:hAnsi="Garamond" w:cs="Arial"/>
          <w:color w:val="000000"/>
        </w:rPr>
        <w:t xml:space="preserve"> --con </w:t>
      </w:r>
      <w:proofErr w:type="spellStart"/>
      <w:r w:rsidRPr="00156F48">
        <w:rPr>
          <w:rFonts w:ascii="Garamond" w:hAnsi="Garamond" w:cs="Arial"/>
          <w:color w:val="000000"/>
        </w:rPr>
        <w:t>alusiones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expresas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aquella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jurisprudencia</w:t>
      </w:r>
      <w:proofErr w:type="spellEnd"/>
      <w:r w:rsidRPr="00156F48">
        <w:rPr>
          <w:rFonts w:ascii="Garamond" w:hAnsi="Garamond" w:cs="Arial"/>
          <w:color w:val="000000"/>
        </w:rPr>
        <w:t xml:space="preserve">--: </w:t>
      </w:r>
      <w:proofErr w:type="spellStart"/>
      <w:r w:rsidRPr="00156F48">
        <w:rPr>
          <w:rFonts w:ascii="Garamond" w:hAnsi="Garamond" w:cs="Arial"/>
          <w:color w:val="000000"/>
        </w:rPr>
        <w:t>Declaración</w:t>
      </w:r>
      <w:proofErr w:type="spellEnd"/>
      <w:r w:rsidRPr="00156F48">
        <w:rPr>
          <w:rFonts w:ascii="Garamond" w:hAnsi="Garamond" w:cs="Arial"/>
          <w:color w:val="000000"/>
        </w:rPr>
        <w:t xml:space="preserve"> Universal de Derechos Humanos, </w:t>
      </w:r>
      <w:proofErr w:type="spellStart"/>
      <w:r w:rsidRPr="00156F48">
        <w:rPr>
          <w:rFonts w:ascii="Garamond" w:hAnsi="Garamond" w:cs="Arial"/>
          <w:color w:val="000000"/>
        </w:rPr>
        <w:t>Pacto</w:t>
      </w:r>
      <w:proofErr w:type="spellEnd"/>
      <w:r w:rsidRPr="00156F48">
        <w:rPr>
          <w:rFonts w:ascii="Garamond" w:hAnsi="Garamond" w:cs="Arial"/>
          <w:color w:val="000000"/>
        </w:rPr>
        <w:t xml:space="preserve"> Internacional de Derechos Civiles y </w:t>
      </w:r>
      <w:proofErr w:type="spellStart"/>
      <w:r w:rsidRPr="00156F48">
        <w:rPr>
          <w:rFonts w:ascii="Garamond" w:hAnsi="Garamond" w:cs="Arial"/>
          <w:color w:val="000000"/>
        </w:rPr>
        <w:t>Políticos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Convenio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Europeo</w:t>
      </w:r>
      <w:proofErr w:type="spellEnd"/>
      <w:r w:rsidRPr="00156F48">
        <w:rPr>
          <w:rFonts w:ascii="Garamond" w:hAnsi="Garamond" w:cs="Arial"/>
          <w:color w:val="000000"/>
        </w:rPr>
        <w:t xml:space="preserve"> de 1950 (y la </w:t>
      </w:r>
      <w:proofErr w:type="spellStart"/>
      <w:r w:rsidRPr="00156F48">
        <w:rPr>
          <w:rFonts w:ascii="Garamond" w:hAnsi="Garamond" w:cs="Arial"/>
          <w:color w:val="000000"/>
        </w:rPr>
        <w:t>jurisprudencia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derivada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éste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así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recomendaciones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Consejo</w:t>
      </w:r>
      <w:proofErr w:type="spellEnd"/>
      <w:r w:rsidRPr="00156F48">
        <w:rPr>
          <w:rFonts w:ascii="Garamond" w:hAnsi="Garamond" w:cs="Arial"/>
          <w:color w:val="000000"/>
        </w:rPr>
        <w:t xml:space="preserve"> de Europa sobre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lastRenderedPageBreak/>
        <w:t>eficiencia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), </w:t>
      </w:r>
      <w:proofErr w:type="spellStart"/>
      <w:r w:rsidRPr="00156F48">
        <w:rPr>
          <w:rFonts w:ascii="Garamond" w:hAnsi="Garamond" w:cs="Arial"/>
          <w:color w:val="000000"/>
        </w:rPr>
        <w:t>Principios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Básicos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Naciones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Unidas</w:t>
      </w:r>
      <w:proofErr w:type="spellEnd"/>
      <w:r w:rsidRPr="00156F48">
        <w:rPr>
          <w:rFonts w:ascii="Garamond" w:hAnsi="Garamond" w:cs="Arial"/>
          <w:color w:val="000000"/>
        </w:rPr>
        <w:t xml:space="preserve"> sobre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judicatura</w:t>
      </w:r>
      <w:proofErr w:type="spellEnd"/>
      <w:r w:rsidRPr="00156F48">
        <w:rPr>
          <w:rFonts w:ascii="Garamond" w:hAnsi="Garamond" w:cs="Arial"/>
          <w:color w:val="000000"/>
        </w:rPr>
        <w:t xml:space="preserve"> (1985), </w:t>
      </w:r>
      <w:proofErr w:type="spellStart"/>
      <w:r w:rsidRPr="00156F48">
        <w:rPr>
          <w:rFonts w:ascii="Garamond" w:hAnsi="Garamond" w:cs="Arial"/>
          <w:color w:val="000000"/>
        </w:rPr>
        <w:t>resoluciones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Consejo</w:t>
      </w:r>
      <w:proofErr w:type="spellEnd"/>
      <w:r w:rsidRPr="00156F48">
        <w:rPr>
          <w:rFonts w:ascii="Garamond" w:hAnsi="Garamond" w:cs="Arial"/>
          <w:color w:val="000000"/>
        </w:rPr>
        <w:t xml:space="preserve"> de Derechos Humanos e informes de la </w:t>
      </w:r>
      <w:proofErr w:type="spellStart"/>
      <w:r w:rsidRPr="00156F48">
        <w:rPr>
          <w:rFonts w:ascii="Garamond" w:hAnsi="Garamond" w:cs="Arial"/>
          <w:color w:val="000000"/>
        </w:rPr>
        <w:t>Relatora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Especial</w:t>
      </w:r>
      <w:proofErr w:type="spellEnd"/>
      <w:r w:rsidRPr="00156F48">
        <w:rPr>
          <w:rFonts w:ascii="Garamond" w:hAnsi="Garamond" w:cs="Arial"/>
          <w:color w:val="000000"/>
        </w:rPr>
        <w:t xml:space="preserve"> de NNUU sobre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magistrados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abogados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observaciones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Comité de Derechos Humanos de NNUU, </w:t>
      </w:r>
      <w:proofErr w:type="spellStart"/>
      <w:r w:rsidRPr="00156F48">
        <w:rPr>
          <w:rFonts w:ascii="Garamond" w:hAnsi="Garamond" w:cs="Arial"/>
          <w:color w:val="000000"/>
        </w:rPr>
        <w:t>especialmente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Observación</w:t>
      </w:r>
      <w:proofErr w:type="spellEnd"/>
      <w:r w:rsidRPr="00156F48">
        <w:rPr>
          <w:rFonts w:ascii="Garamond" w:hAnsi="Garamond" w:cs="Arial"/>
          <w:color w:val="000000"/>
        </w:rPr>
        <w:t xml:space="preserve"> General No. 32, </w:t>
      </w:r>
      <w:proofErr w:type="spellStart"/>
      <w:r w:rsidRPr="00156F48">
        <w:rPr>
          <w:rFonts w:ascii="Garamond" w:hAnsi="Garamond" w:cs="Arial"/>
          <w:color w:val="000000"/>
        </w:rPr>
        <w:t>Principios</w:t>
      </w:r>
      <w:proofErr w:type="spellEnd"/>
      <w:r w:rsidRPr="00156F48">
        <w:rPr>
          <w:rFonts w:ascii="Garamond" w:hAnsi="Garamond" w:cs="Arial"/>
          <w:color w:val="000000"/>
        </w:rPr>
        <w:t xml:space="preserve"> de Bangalore sobre </w:t>
      </w:r>
      <w:proofErr w:type="spellStart"/>
      <w:r w:rsidRPr="00156F48">
        <w:rPr>
          <w:rFonts w:ascii="Garamond" w:hAnsi="Garamond" w:cs="Arial"/>
          <w:color w:val="000000"/>
        </w:rPr>
        <w:t>Conducta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(2002), </w:t>
      </w:r>
      <w:proofErr w:type="spellStart"/>
      <w:r w:rsidRPr="00156F48">
        <w:rPr>
          <w:rFonts w:ascii="Garamond" w:hAnsi="Garamond" w:cs="Arial"/>
          <w:color w:val="000000"/>
        </w:rPr>
        <w:t>Estatuto</w:t>
      </w:r>
      <w:proofErr w:type="spellEnd"/>
      <w:r w:rsidRPr="00156F48">
        <w:rPr>
          <w:rFonts w:ascii="Garamond" w:hAnsi="Garamond" w:cs="Arial"/>
          <w:color w:val="000000"/>
        </w:rPr>
        <w:t xml:space="preserve"> Universal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Juez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Unión</w:t>
      </w:r>
      <w:proofErr w:type="spellEnd"/>
      <w:r w:rsidRPr="00156F48">
        <w:rPr>
          <w:rFonts w:ascii="Garamond" w:hAnsi="Garamond" w:cs="Arial"/>
          <w:color w:val="000000"/>
        </w:rPr>
        <w:t xml:space="preserve"> Internacional de </w:t>
      </w:r>
      <w:proofErr w:type="spellStart"/>
      <w:r w:rsidRPr="00156F48">
        <w:rPr>
          <w:rFonts w:ascii="Garamond" w:hAnsi="Garamond" w:cs="Arial"/>
          <w:color w:val="000000"/>
        </w:rPr>
        <w:t>Magistrados</w:t>
      </w:r>
      <w:proofErr w:type="spellEnd"/>
      <w:r w:rsidRPr="00156F48">
        <w:rPr>
          <w:rFonts w:ascii="Garamond" w:hAnsi="Garamond" w:cs="Arial"/>
          <w:color w:val="000000"/>
        </w:rPr>
        <w:t xml:space="preserve"> (1999), </w:t>
      </w:r>
      <w:proofErr w:type="spellStart"/>
      <w:r w:rsidRPr="00156F48">
        <w:rPr>
          <w:rFonts w:ascii="Garamond" w:hAnsi="Garamond" w:cs="Arial"/>
          <w:color w:val="000000"/>
        </w:rPr>
        <w:t>Declaración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Burdeos</w:t>
      </w:r>
      <w:proofErr w:type="spellEnd"/>
      <w:r w:rsidRPr="00156F48">
        <w:rPr>
          <w:rFonts w:ascii="Garamond" w:hAnsi="Garamond" w:cs="Arial"/>
          <w:color w:val="000000"/>
        </w:rPr>
        <w:t xml:space="preserve"> sobre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y fiscales en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sociedad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democrática</w:t>
      </w:r>
      <w:proofErr w:type="spellEnd"/>
      <w:r w:rsidRPr="00156F48">
        <w:rPr>
          <w:rFonts w:ascii="Garamond" w:hAnsi="Garamond" w:cs="Arial"/>
          <w:color w:val="000000"/>
        </w:rPr>
        <w:t xml:space="preserve"> (2009) y </w:t>
      </w:r>
      <w:proofErr w:type="spellStart"/>
      <w:r w:rsidRPr="00156F48">
        <w:rPr>
          <w:rFonts w:ascii="Garamond" w:hAnsi="Garamond" w:cs="Arial"/>
          <w:color w:val="000000"/>
        </w:rPr>
        <w:t>Principios</w:t>
      </w:r>
      <w:proofErr w:type="spellEnd"/>
      <w:r w:rsidRPr="00156F48">
        <w:rPr>
          <w:rFonts w:ascii="Garamond" w:hAnsi="Garamond" w:cs="Arial"/>
          <w:color w:val="000000"/>
        </w:rPr>
        <w:t xml:space="preserve"> de Madrid sobre la </w:t>
      </w:r>
      <w:proofErr w:type="spellStart"/>
      <w:r w:rsidRPr="00156F48">
        <w:rPr>
          <w:rFonts w:ascii="Garamond" w:hAnsi="Garamond" w:cs="Arial"/>
          <w:color w:val="000000"/>
        </w:rPr>
        <w:t>relación</w:t>
      </w:r>
      <w:proofErr w:type="spellEnd"/>
      <w:r w:rsidRPr="00156F48">
        <w:rPr>
          <w:rFonts w:ascii="Garamond" w:hAnsi="Garamond" w:cs="Arial"/>
          <w:color w:val="000000"/>
        </w:rPr>
        <w:t xml:space="preserve"> entre los </w:t>
      </w:r>
      <w:proofErr w:type="spellStart"/>
      <w:r w:rsidRPr="00156F48">
        <w:rPr>
          <w:rFonts w:ascii="Garamond" w:hAnsi="Garamond" w:cs="Arial"/>
          <w:color w:val="000000"/>
        </w:rPr>
        <w:t>medios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comunicación</w:t>
      </w:r>
      <w:proofErr w:type="spellEnd"/>
      <w:r w:rsidRPr="00156F48">
        <w:rPr>
          <w:rFonts w:ascii="Garamond" w:hAnsi="Garamond" w:cs="Arial"/>
          <w:color w:val="000000"/>
        </w:rPr>
        <w:t xml:space="preserve"> social y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independiente</w:t>
      </w:r>
      <w:proofErr w:type="spellEnd"/>
      <w:r w:rsidRPr="00156F48">
        <w:rPr>
          <w:rFonts w:ascii="Garamond" w:hAnsi="Garamond" w:cs="Arial"/>
          <w:color w:val="000000"/>
        </w:rPr>
        <w:t xml:space="preserve"> (1994).</w:t>
      </w:r>
    </w:p>
    <w:p w14:paraId="6E383C4B" w14:textId="0E3DBE8A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proofErr w:type="spellStart"/>
      <w:r w:rsidRPr="00156F48">
        <w:rPr>
          <w:rFonts w:ascii="Garamond" w:hAnsi="Garamond" w:cs="Arial"/>
          <w:color w:val="000000"/>
        </w:rPr>
        <w:t>Desde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luego</w:t>
      </w:r>
      <w:proofErr w:type="spellEnd"/>
      <w:r w:rsidRPr="00156F48">
        <w:rPr>
          <w:rFonts w:ascii="Garamond" w:hAnsi="Garamond" w:cs="Arial"/>
          <w:color w:val="000000"/>
        </w:rPr>
        <w:t xml:space="preserve">, en el </w:t>
      </w:r>
      <w:proofErr w:type="spellStart"/>
      <w:r w:rsidRPr="00156F48">
        <w:rPr>
          <w:rFonts w:ascii="Garamond" w:hAnsi="Garamond" w:cs="Arial"/>
          <w:color w:val="000000"/>
        </w:rPr>
        <w:t>sistema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interamericano</w:t>
      </w:r>
      <w:proofErr w:type="spellEnd"/>
      <w:r w:rsidRPr="00156F48">
        <w:rPr>
          <w:rFonts w:ascii="Garamond" w:hAnsi="Garamond" w:cs="Arial"/>
          <w:color w:val="000000"/>
        </w:rPr>
        <w:t xml:space="preserve"> se ha </w:t>
      </w:r>
      <w:proofErr w:type="spellStart"/>
      <w:r w:rsidRPr="00156F48">
        <w:rPr>
          <w:rFonts w:ascii="Garamond" w:hAnsi="Garamond" w:cs="Arial"/>
          <w:color w:val="000000"/>
        </w:rPr>
        <w:t>subrayado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preocupación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los </w:t>
      </w:r>
      <w:proofErr w:type="spellStart"/>
      <w:r w:rsidRPr="00156F48">
        <w:rPr>
          <w:rFonts w:ascii="Garamond" w:hAnsi="Garamond" w:cs="Arial"/>
          <w:color w:val="000000"/>
        </w:rPr>
        <w:t>ataques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presiones</w:t>
      </w:r>
      <w:proofErr w:type="spellEnd"/>
      <w:r w:rsidRPr="00156F48">
        <w:rPr>
          <w:rFonts w:ascii="Garamond" w:hAnsi="Garamond" w:cs="Arial"/>
          <w:color w:val="000000"/>
        </w:rPr>
        <w:t xml:space="preserve"> sobre los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sea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éstos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provengan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actores</w:t>
      </w:r>
      <w:proofErr w:type="spellEnd"/>
      <w:r w:rsidRPr="00156F48">
        <w:rPr>
          <w:rFonts w:ascii="Garamond" w:hAnsi="Garamond" w:cs="Arial"/>
          <w:color w:val="000000"/>
        </w:rPr>
        <w:t xml:space="preserve"> sociales (</w:t>
      </w:r>
      <w:proofErr w:type="spellStart"/>
      <w:r w:rsidRPr="00156F48">
        <w:rPr>
          <w:rFonts w:ascii="Garamond" w:hAnsi="Garamond" w:cs="Arial"/>
          <w:color w:val="000000"/>
        </w:rPr>
        <w:t>así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delincuencia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organizada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factores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informal</w:t>
      </w:r>
      <w:proofErr w:type="spellEnd"/>
      <w:r w:rsidRPr="00156F48">
        <w:rPr>
          <w:rFonts w:ascii="Garamond" w:hAnsi="Garamond" w:cs="Arial"/>
          <w:color w:val="000000"/>
        </w:rPr>
        <w:t xml:space="preserve">), </w:t>
      </w:r>
      <w:proofErr w:type="spellStart"/>
      <w:r w:rsidRPr="00156F48">
        <w:rPr>
          <w:rFonts w:ascii="Garamond" w:hAnsi="Garamond" w:cs="Arial"/>
          <w:color w:val="000000"/>
        </w:rPr>
        <w:t>sea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procedan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órganos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público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pretenden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menoscabar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división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subordinar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desempeño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a los </w:t>
      </w:r>
      <w:proofErr w:type="spellStart"/>
      <w:r w:rsidRPr="00156F48">
        <w:rPr>
          <w:rFonts w:ascii="Garamond" w:hAnsi="Garamond" w:cs="Arial"/>
          <w:color w:val="000000"/>
        </w:rPr>
        <w:t>imperativos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dictan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otras</w:t>
      </w:r>
      <w:proofErr w:type="spellEnd"/>
      <w:r w:rsidRPr="00156F48">
        <w:rPr>
          <w:rFonts w:ascii="Garamond" w:hAnsi="Garamond" w:cs="Arial"/>
          <w:color w:val="000000"/>
        </w:rPr>
        <w:t xml:space="preserve"> instancias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atender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intereses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individuales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colectivos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cuya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definición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pasa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los </w:t>
      </w:r>
      <w:proofErr w:type="spellStart"/>
      <w:r w:rsidRPr="00156F48">
        <w:rPr>
          <w:rFonts w:ascii="Garamond" w:hAnsi="Garamond" w:cs="Arial"/>
          <w:color w:val="000000"/>
        </w:rPr>
        <w:t>tribunales</w:t>
      </w:r>
      <w:proofErr w:type="spellEnd"/>
      <w:r w:rsidRPr="00156F48">
        <w:rPr>
          <w:rFonts w:ascii="Garamond" w:hAnsi="Garamond" w:cs="Arial"/>
          <w:color w:val="000000"/>
        </w:rPr>
        <w:t xml:space="preserve">. La </w:t>
      </w:r>
      <w:proofErr w:type="spellStart"/>
      <w:r w:rsidRPr="00156F48">
        <w:rPr>
          <w:rFonts w:ascii="Garamond" w:hAnsi="Garamond" w:cs="Arial"/>
          <w:color w:val="000000"/>
        </w:rPr>
        <w:t>Comisión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Interamericana</w:t>
      </w:r>
      <w:proofErr w:type="spellEnd"/>
      <w:r w:rsidRPr="00156F48">
        <w:rPr>
          <w:rFonts w:ascii="Garamond" w:hAnsi="Garamond" w:cs="Arial"/>
          <w:color w:val="000000"/>
        </w:rPr>
        <w:t xml:space="preserve"> de Derechos Humanos ha </w:t>
      </w:r>
      <w:proofErr w:type="spellStart"/>
      <w:r w:rsidRPr="00156F48">
        <w:rPr>
          <w:rFonts w:ascii="Garamond" w:hAnsi="Garamond" w:cs="Arial"/>
          <w:color w:val="000000"/>
        </w:rPr>
        <w:t>señalado</w:t>
      </w:r>
      <w:proofErr w:type="spellEnd"/>
      <w:r w:rsidRPr="00156F48">
        <w:rPr>
          <w:rFonts w:ascii="Garamond" w:hAnsi="Garamond" w:cs="Arial"/>
          <w:color w:val="000000"/>
        </w:rPr>
        <w:t xml:space="preserve"> que en </w:t>
      </w:r>
      <w:proofErr w:type="spellStart"/>
      <w:r w:rsidRPr="00156F48">
        <w:rPr>
          <w:rFonts w:ascii="Garamond" w:hAnsi="Garamond" w:cs="Arial"/>
          <w:color w:val="000000"/>
        </w:rPr>
        <w:t>varios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países</w:t>
      </w:r>
      <w:proofErr w:type="spellEnd"/>
      <w:r w:rsidRPr="00156F48">
        <w:rPr>
          <w:rFonts w:ascii="Garamond" w:hAnsi="Garamond" w:cs="Arial"/>
          <w:color w:val="000000"/>
        </w:rPr>
        <w:t xml:space="preserve"> americanos</w:t>
      </w:r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  <w:color w:val="000000"/>
        </w:rPr>
        <w:t>los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desempeñan</w:t>
      </w:r>
      <w:proofErr w:type="spellEnd"/>
      <w:r w:rsidRPr="00156F48">
        <w:rPr>
          <w:rFonts w:ascii="Garamond" w:hAnsi="Garamond" w:cs="Arial"/>
          <w:color w:val="000000"/>
        </w:rPr>
        <w:t xml:space="preserve"> sus </w:t>
      </w:r>
      <w:proofErr w:type="spellStart"/>
      <w:r w:rsidRPr="00156F48">
        <w:rPr>
          <w:rFonts w:ascii="Garamond" w:hAnsi="Garamond" w:cs="Arial"/>
          <w:color w:val="000000"/>
        </w:rPr>
        <w:t>labores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ausencia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garantías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aseguren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actuación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independiente</w:t>
      </w:r>
      <w:proofErr w:type="spellEnd"/>
      <w:r w:rsidRPr="00156F48">
        <w:rPr>
          <w:rFonts w:ascii="Garamond" w:hAnsi="Garamond" w:cs="Arial"/>
          <w:color w:val="000000"/>
        </w:rPr>
        <w:t xml:space="preserve">, tanto en un </w:t>
      </w:r>
      <w:proofErr w:type="spellStart"/>
      <w:r w:rsidRPr="00156F48">
        <w:rPr>
          <w:rFonts w:ascii="Garamond" w:hAnsi="Garamond" w:cs="Arial"/>
          <w:color w:val="000000"/>
        </w:rPr>
        <w:t>nivel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individual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en las </w:t>
      </w:r>
      <w:proofErr w:type="spellStart"/>
      <w:r w:rsidRPr="00156F48">
        <w:rPr>
          <w:rFonts w:ascii="Garamond" w:hAnsi="Garamond" w:cs="Arial"/>
          <w:color w:val="000000"/>
        </w:rPr>
        <w:t>instituciones</w:t>
      </w:r>
      <w:proofErr w:type="spellEnd"/>
      <w:r w:rsidRPr="00156F48">
        <w:rPr>
          <w:rFonts w:ascii="Garamond" w:hAnsi="Garamond" w:cs="Arial"/>
          <w:color w:val="000000"/>
        </w:rPr>
        <w:t xml:space="preserve"> en que </w:t>
      </w:r>
      <w:proofErr w:type="spellStart"/>
      <w:r w:rsidRPr="00156F48">
        <w:rPr>
          <w:rFonts w:ascii="Garamond" w:hAnsi="Garamond" w:cs="Arial"/>
          <w:color w:val="000000"/>
        </w:rPr>
        <w:t>trabajan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(CIDH,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Garantías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para la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independencia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las y los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operadores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, 5 de </w:t>
      </w:r>
      <w:proofErr w:type="spellStart"/>
      <w:r w:rsidRPr="00156F48">
        <w:rPr>
          <w:rFonts w:ascii="Garamond" w:hAnsi="Garamond" w:cs="Arial"/>
          <w:color w:val="000000"/>
        </w:rPr>
        <w:t>diciembre</w:t>
      </w:r>
      <w:proofErr w:type="spellEnd"/>
      <w:r w:rsidRPr="00156F48">
        <w:rPr>
          <w:rFonts w:ascii="Garamond" w:hAnsi="Garamond" w:cs="Arial"/>
          <w:color w:val="000000"/>
        </w:rPr>
        <w:t xml:space="preserve"> de 2013,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3).</w:t>
      </w:r>
    </w:p>
    <w:p w14:paraId="5CEC23DA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la </w:t>
      </w:r>
      <w:proofErr w:type="spellStart"/>
      <w:r w:rsidRPr="00156F48">
        <w:rPr>
          <w:rFonts w:ascii="Garamond" w:hAnsi="Garamond" w:cs="Arial"/>
          <w:color w:val="000000"/>
        </w:rPr>
        <w:t>jurisprudencia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figuran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casos</w:t>
      </w:r>
      <w:proofErr w:type="spellEnd"/>
      <w:r w:rsidRPr="00156F48">
        <w:rPr>
          <w:rFonts w:ascii="Garamond" w:hAnsi="Garamond" w:cs="Arial"/>
          <w:color w:val="000000"/>
        </w:rPr>
        <w:t xml:space="preserve"> notables sobre </w:t>
      </w:r>
      <w:proofErr w:type="spellStart"/>
      <w:r w:rsidRPr="00156F48">
        <w:rPr>
          <w:rFonts w:ascii="Garamond" w:hAnsi="Garamond" w:cs="Arial"/>
          <w:color w:val="000000"/>
        </w:rPr>
        <w:t>violación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principio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separación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, en los que han </w:t>
      </w:r>
      <w:proofErr w:type="spellStart"/>
      <w:r w:rsidRPr="00156F48">
        <w:rPr>
          <w:rFonts w:ascii="Garamond" w:hAnsi="Garamond" w:cs="Arial"/>
          <w:color w:val="000000"/>
        </w:rPr>
        <w:t>tenido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especial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relevancia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afectaciones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 xml:space="preserve">, tanto en lo que </w:t>
      </w:r>
      <w:proofErr w:type="spellStart"/>
      <w:r w:rsidRPr="00156F48">
        <w:rPr>
          <w:rFonts w:ascii="Garamond" w:hAnsi="Garamond" w:cs="Arial"/>
          <w:color w:val="000000"/>
        </w:rPr>
        <w:t>toca</w:t>
      </w:r>
      <w:proofErr w:type="spellEnd"/>
      <w:r w:rsidRPr="00156F48">
        <w:rPr>
          <w:rFonts w:ascii="Garamond" w:hAnsi="Garamond" w:cs="Arial"/>
          <w:color w:val="000000"/>
        </w:rPr>
        <w:t xml:space="preserve"> a su </w:t>
      </w:r>
      <w:proofErr w:type="spellStart"/>
      <w:r w:rsidRPr="00156F48">
        <w:rPr>
          <w:rFonts w:ascii="Garamond" w:hAnsi="Garamond" w:cs="Arial"/>
          <w:color w:val="000000"/>
        </w:rPr>
        <w:t>designación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en lo que </w:t>
      </w:r>
      <w:proofErr w:type="spellStart"/>
      <w:r w:rsidRPr="00156F48">
        <w:rPr>
          <w:rFonts w:ascii="Garamond" w:hAnsi="Garamond" w:cs="Arial"/>
          <w:color w:val="000000"/>
        </w:rPr>
        <w:t>atañe</w:t>
      </w:r>
      <w:proofErr w:type="spellEnd"/>
      <w:r w:rsidRPr="00156F48">
        <w:rPr>
          <w:rFonts w:ascii="Garamond" w:hAnsi="Garamond" w:cs="Arial"/>
          <w:color w:val="000000"/>
        </w:rPr>
        <w:t xml:space="preserve"> a los </w:t>
      </w:r>
      <w:proofErr w:type="spellStart"/>
      <w:r w:rsidRPr="00156F48">
        <w:rPr>
          <w:rFonts w:ascii="Garamond" w:hAnsi="Garamond" w:cs="Arial"/>
          <w:color w:val="000000"/>
        </w:rPr>
        <w:t>requisitos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aseguran</w:t>
      </w:r>
      <w:proofErr w:type="spellEnd"/>
      <w:r w:rsidRPr="00156F48">
        <w:rPr>
          <w:rFonts w:ascii="Garamond" w:hAnsi="Garamond" w:cs="Arial"/>
          <w:color w:val="000000"/>
        </w:rPr>
        <w:t xml:space="preserve"> --o al </w:t>
      </w:r>
      <w:proofErr w:type="spellStart"/>
      <w:r w:rsidRPr="00156F48">
        <w:rPr>
          <w:rFonts w:ascii="Garamond" w:hAnsi="Garamond" w:cs="Arial"/>
          <w:color w:val="000000"/>
        </w:rPr>
        <w:t>menos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protegen</w:t>
      </w:r>
      <w:proofErr w:type="spellEnd"/>
      <w:r w:rsidRPr="00156F48">
        <w:rPr>
          <w:rFonts w:ascii="Garamond" w:hAnsi="Garamond" w:cs="Arial"/>
          <w:color w:val="000000"/>
        </w:rPr>
        <w:t xml:space="preserve">--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magistratura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r w:rsidRPr="00156F48">
        <w:rPr>
          <w:rFonts w:ascii="Garamond" w:hAnsi="Garamond" w:cs="Arial"/>
          <w:i/>
          <w:iCs/>
          <w:color w:val="000000"/>
        </w:rPr>
        <w:t>Infra</w:t>
      </w:r>
      <w:r w:rsidRPr="00156F48">
        <w:rPr>
          <w:rFonts w:ascii="Garamond" w:hAnsi="Garamond" w:cs="Arial"/>
          <w:color w:val="000000"/>
        </w:rPr>
        <w:t xml:space="preserve"> nos </w:t>
      </w:r>
      <w:proofErr w:type="spellStart"/>
      <w:r w:rsidRPr="00156F48">
        <w:rPr>
          <w:rFonts w:ascii="Garamond" w:hAnsi="Garamond" w:cs="Arial"/>
          <w:color w:val="000000"/>
        </w:rPr>
        <w:t>referiremos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casos</w:t>
      </w:r>
      <w:proofErr w:type="spellEnd"/>
      <w:r w:rsidRPr="00156F48">
        <w:rPr>
          <w:rFonts w:ascii="Garamond" w:hAnsi="Garamond" w:cs="Arial"/>
          <w:color w:val="000000"/>
        </w:rPr>
        <w:t xml:space="preserve"> en los que las </w:t>
      </w:r>
      <w:proofErr w:type="spellStart"/>
      <w:r w:rsidRPr="00156F48">
        <w:rPr>
          <w:rFonts w:ascii="Garamond" w:hAnsi="Garamond" w:cs="Arial"/>
          <w:color w:val="000000"/>
        </w:rPr>
        <w:t>decisiones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antidemocráticas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político</w:t>
      </w:r>
      <w:proofErr w:type="spellEnd"/>
      <w:r w:rsidRPr="00156F48">
        <w:rPr>
          <w:rFonts w:ascii="Garamond" w:hAnsi="Garamond" w:cs="Arial"/>
          <w:color w:val="000000"/>
        </w:rPr>
        <w:t xml:space="preserve"> han </w:t>
      </w:r>
      <w:proofErr w:type="spellStart"/>
      <w:r w:rsidRPr="00156F48">
        <w:rPr>
          <w:rFonts w:ascii="Garamond" w:hAnsi="Garamond" w:cs="Arial"/>
          <w:color w:val="000000"/>
        </w:rPr>
        <w:t>pretendido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incidir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indebidamente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color w:val="000000"/>
        </w:rPr>
        <w:t>designación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permanencia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>, “</w:t>
      </w:r>
      <w:proofErr w:type="spellStart"/>
      <w:r w:rsidRPr="00156F48">
        <w:rPr>
          <w:rFonts w:ascii="Garamond" w:hAnsi="Garamond" w:cs="Arial"/>
          <w:color w:val="000000"/>
        </w:rPr>
        <w:t>desmontar</w:t>
      </w:r>
      <w:proofErr w:type="spellEnd"/>
      <w:r w:rsidRPr="00156F48">
        <w:rPr>
          <w:rFonts w:ascii="Garamond" w:hAnsi="Garamond" w:cs="Arial"/>
          <w:color w:val="000000"/>
        </w:rPr>
        <w:t xml:space="preserve">” </w:t>
      </w:r>
      <w:proofErr w:type="spellStart"/>
      <w:r w:rsidRPr="00156F48">
        <w:rPr>
          <w:rFonts w:ascii="Garamond" w:hAnsi="Garamond" w:cs="Arial"/>
          <w:color w:val="000000"/>
        </w:rPr>
        <w:t>tribunales</w:t>
      </w:r>
      <w:proofErr w:type="spellEnd"/>
      <w:r w:rsidRPr="00156F48">
        <w:rPr>
          <w:rFonts w:ascii="Garamond" w:hAnsi="Garamond" w:cs="Arial"/>
          <w:color w:val="000000"/>
        </w:rPr>
        <w:t xml:space="preserve"> --</w:t>
      </w:r>
      <w:proofErr w:type="spellStart"/>
      <w:r w:rsidRPr="00156F48">
        <w:rPr>
          <w:rFonts w:ascii="Garamond" w:hAnsi="Garamond" w:cs="Arial"/>
          <w:color w:val="000000"/>
        </w:rPr>
        <w:t>incluso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más</w:t>
      </w:r>
      <w:proofErr w:type="spellEnd"/>
      <w:r w:rsidRPr="00156F48">
        <w:rPr>
          <w:rFonts w:ascii="Garamond" w:hAnsi="Garamond" w:cs="Arial"/>
          <w:color w:val="000000"/>
        </w:rPr>
        <w:t xml:space="preserve"> alto </w:t>
      </w:r>
      <w:proofErr w:type="spellStart"/>
      <w:r w:rsidRPr="00156F48">
        <w:rPr>
          <w:rFonts w:ascii="Garamond" w:hAnsi="Garamond" w:cs="Arial"/>
          <w:color w:val="000000"/>
        </w:rPr>
        <w:t>rango</w:t>
      </w:r>
      <w:proofErr w:type="spellEnd"/>
      <w:r w:rsidRPr="00156F48">
        <w:rPr>
          <w:rFonts w:ascii="Garamond" w:hAnsi="Garamond" w:cs="Arial"/>
          <w:color w:val="000000"/>
        </w:rPr>
        <w:t xml:space="preserve">--, </w:t>
      </w:r>
      <w:proofErr w:type="spellStart"/>
      <w:r w:rsidRPr="00156F48">
        <w:rPr>
          <w:rFonts w:ascii="Garamond" w:hAnsi="Garamond" w:cs="Arial"/>
          <w:color w:val="000000"/>
        </w:rPr>
        <w:t>mediatizar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decisiones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éstos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alterar</w:t>
      </w:r>
      <w:proofErr w:type="spellEnd"/>
      <w:r w:rsidRPr="00156F48">
        <w:rPr>
          <w:rFonts w:ascii="Garamond" w:hAnsi="Garamond" w:cs="Arial"/>
          <w:color w:val="000000"/>
        </w:rPr>
        <w:t xml:space="preserve">, con </w:t>
      </w:r>
      <w:proofErr w:type="spellStart"/>
      <w:r w:rsidRPr="00156F48">
        <w:rPr>
          <w:rFonts w:ascii="Garamond" w:hAnsi="Garamond" w:cs="Arial"/>
          <w:color w:val="000000"/>
        </w:rPr>
        <w:t>medidas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diverso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género</w:t>
      </w:r>
      <w:proofErr w:type="spellEnd"/>
      <w:r w:rsidRPr="00156F48">
        <w:rPr>
          <w:rFonts w:ascii="Garamond" w:hAnsi="Garamond" w:cs="Arial"/>
          <w:color w:val="000000"/>
        </w:rPr>
        <w:t xml:space="preserve">, su </w:t>
      </w:r>
      <w:proofErr w:type="spellStart"/>
      <w:r w:rsidRPr="00156F48">
        <w:rPr>
          <w:rFonts w:ascii="Garamond" w:hAnsi="Garamond" w:cs="Arial"/>
          <w:color w:val="000000"/>
        </w:rPr>
        <w:t>buena</w:t>
      </w:r>
      <w:proofErr w:type="spellEnd"/>
      <w:r w:rsidRPr="00156F48">
        <w:rPr>
          <w:rFonts w:ascii="Garamond" w:hAnsi="Garamond" w:cs="Arial"/>
          <w:color w:val="000000"/>
        </w:rPr>
        <w:t xml:space="preserve"> marcha.</w:t>
      </w:r>
    </w:p>
    <w:p w14:paraId="27D59170" w14:textId="26E4053F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Conforme al </w:t>
      </w:r>
      <w:proofErr w:type="spellStart"/>
      <w:r w:rsidRPr="00156F48">
        <w:rPr>
          <w:rFonts w:ascii="Garamond" w:hAnsi="Garamond" w:cs="Arial"/>
          <w:color w:val="000000"/>
        </w:rPr>
        <w:t>artículo</w:t>
      </w:r>
      <w:proofErr w:type="spellEnd"/>
      <w:r w:rsidRPr="00156F48">
        <w:rPr>
          <w:rFonts w:ascii="Garamond" w:hAnsi="Garamond" w:cs="Arial"/>
          <w:color w:val="000000"/>
        </w:rPr>
        <w:t xml:space="preserve"> 8.1 de la </w:t>
      </w:r>
      <w:proofErr w:type="spellStart"/>
      <w:r w:rsidRPr="00156F48">
        <w:rPr>
          <w:rFonts w:ascii="Garamond" w:hAnsi="Garamond" w:cs="Arial"/>
          <w:color w:val="000000"/>
        </w:rPr>
        <w:t>Convención</w:t>
      </w:r>
      <w:proofErr w:type="spellEnd"/>
      <w:r w:rsidRPr="00156F48">
        <w:rPr>
          <w:rFonts w:ascii="Garamond" w:hAnsi="Garamond" w:cs="Arial"/>
          <w:color w:val="000000"/>
        </w:rPr>
        <w:t xml:space="preserve"> Americana </w:t>
      </w:r>
      <w:proofErr w:type="spellStart"/>
      <w:r w:rsidRPr="00156F48">
        <w:rPr>
          <w:rFonts w:ascii="Garamond" w:hAnsi="Garamond" w:cs="Arial"/>
          <w:color w:val="000000"/>
        </w:rPr>
        <w:t>toda</w:t>
      </w:r>
      <w:proofErr w:type="spellEnd"/>
      <w:r w:rsidRPr="00156F48">
        <w:rPr>
          <w:rFonts w:ascii="Garamond" w:hAnsi="Garamond" w:cs="Arial"/>
          <w:color w:val="000000"/>
        </w:rPr>
        <w:t xml:space="preserve"> persona </w:t>
      </w:r>
      <w:proofErr w:type="spellStart"/>
      <w:r w:rsidRPr="00156F48">
        <w:rPr>
          <w:rFonts w:ascii="Garamond" w:hAnsi="Garamond" w:cs="Arial"/>
          <w:color w:val="000000"/>
        </w:rPr>
        <w:t>tiene</w:t>
      </w:r>
      <w:proofErr w:type="spellEnd"/>
      <w:r w:rsidRPr="00156F48">
        <w:rPr>
          <w:rFonts w:ascii="Garamond" w:hAnsi="Garamond" w:cs="Arial"/>
          <w:color w:val="000000"/>
        </w:rPr>
        <w:t xml:space="preserve"> derecho</w:t>
      </w:r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</w:rPr>
        <w:t>a</w:t>
      </w:r>
      <w:proofErr w:type="gram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ser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oída</w:t>
      </w:r>
      <w:proofErr w:type="spellEnd"/>
      <w:r w:rsidRPr="00156F48">
        <w:rPr>
          <w:rFonts w:ascii="Garamond" w:hAnsi="Garamond" w:cs="Arial"/>
        </w:rPr>
        <w:t xml:space="preserve">, con las </w:t>
      </w:r>
      <w:proofErr w:type="spellStart"/>
      <w:r w:rsidRPr="00156F48">
        <w:rPr>
          <w:rFonts w:ascii="Garamond" w:hAnsi="Garamond" w:cs="Arial"/>
        </w:rPr>
        <w:t>debidas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garantías</w:t>
      </w:r>
      <w:proofErr w:type="spellEnd"/>
      <w:r w:rsidRPr="00156F48">
        <w:rPr>
          <w:rFonts w:ascii="Garamond" w:hAnsi="Garamond" w:cs="Arial"/>
        </w:rPr>
        <w:t xml:space="preserve"> y </w:t>
      </w:r>
      <w:proofErr w:type="spellStart"/>
      <w:r w:rsidRPr="00156F48">
        <w:rPr>
          <w:rFonts w:ascii="Garamond" w:hAnsi="Garamond" w:cs="Arial"/>
        </w:rPr>
        <w:t>dentro</w:t>
      </w:r>
      <w:proofErr w:type="spellEnd"/>
      <w:r w:rsidRPr="00156F48">
        <w:rPr>
          <w:rFonts w:ascii="Garamond" w:hAnsi="Garamond" w:cs="Arial"/>
        </w:rPr>
        <w:t xml:space="preserve"> de un </w:t>
      </w:r>
      <w:proofErr w:type="spellStart"/>
      <w:r w:rsidRPr="00156F48">
        <w:rPr>
          <w:rFonts w:ascii="Garamond" w:hAnsi="Garamond" w:cs="Arial"/>
        </w:rPr>
        <w:t>plazo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razonable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por</w:t>
      </w:r>
      <w:proofErr w:type="spellEnd"/>
      <w:r w:rsidRPr="00156F48">
        <w:rPr>
          <w:rFonts w:ascii="Garamond" w:hAnsi="Garamond" w:cs="Arial"/>
        </w:rPr>
        <w:t xml:space="preserve"> un </w:t>
      </w:r>
      <w:proofErr w:type="spellStart"/>
      <w:r w:rsidRPr="00156F48">
        <w:rPr>
          <w:rFonts w:ascii="Garamond" w:hAnsi="Garamond" w:cs="Arial"/>
        </w:rPr>
        <w:t>juez</w:t>
      </w:r>
      <w:proofErr w:type="spellEnd"/>
      <w:r w:rsidRPr="00156F48">
        <w:rPr>
          <w:rFonts w:ascii="Garamond" w:hAnsi="Garamond" w:cs="Arial"/>
        </w:rPr>
        <w:t xml:space="preserve"> o tribunal </w:t>
      </w:r>
      <w:proofErr w:type="spellStart"/>
      <w:r w:rsidRPr="00156F48">
        <w:rPr>
          <w:rFonts w:ascii="Garamond" w:hAnsi="Garamond" w:cs="Arial"/>
        </w:rPr>
        <w:t>competente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independiente</w:t>
      </w:r>
      <w:proofErr w:type="spellEnd"/>
      <w:r w:rsidRPr="00156F48">
        <w:rPr>
          <w:rFonts w:ascii="Garamond" w:hAnsi="Garamond" w:cs="Arial"/>
        </w:rPr>
        <w:t xml:space="preserve"> e </w:t>
      </w:r>
      <w:proofErr w:type="spellStart"/>
      <w:r w:rsidRPr="00156F48">
        <w:rPr>
          <w:rFonts w:ascii="Garamond" w:hAnsi="Garamond" w:cs="Arial"/>
        </w:rPr>
        <w:t>imparcial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establecido</w:t>
      </w:r>
      <w:proofErr w:type="spellEnd"/>
      <w:r w:rsidRPr="00156F48">
        <w:rPr>
          <w:rFonts w:ascii="Garamond" w:hAnsi="Garamond" w:cs="Arial"/>
        </w:rPr>
        <w:t xml:space="preserve"> con </w:t>
      </w:r>
      <w:proofErr w:type="spellStart"/>
      <w:r w:rsidRPr="00156F48">
        <w:rPr>
          <w:rFonts w:ascii="Garamond" w:hAnsi="Garamond" w:cs="Arial"/>
        </w:rPr>
        <w:t>anterioridad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por</w:t>
      </w:r>
      <w:proofErr w:type="spellEnd"/>
      <w:r w:rsidRPr="00156F48">
        <w:rPr>
          <w:rFonts w:ascii="Garamond" w:hAnsi="Garamond" w:cs="Arial"/>
        </w:rPr>
        <w:t xml:space="preserve"> la </w:t>
      </w:r>
      <w:proofErr w:type="spellStart"/>
      <w:r w:rsidRPr="00156F48">
        <w:rPr>
          <w:rFonts w:ascii="Garamond" w:hAnsi="Garamond" w:cs="Arial"/>
        </w:rPr>
        <w:t>ley</w:t>
      </w:r>
      <w:proofErr w:type="spellEnd"/>
      <w:r w:rsidRPr="00156F48">
        <w:rPr>
          <w:rFonts w:ascii="Garamond" w:hAnsi="Garamond" w:cs="Arial"/>
        </w:rPr>
        <w:t xml:space="preserve"> […]</w:t>
      </w:r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</w:rPr>
        <w:t xml:space="preserve">. En </w:t>
      </w:r>
      <w:proofErr w:type="spellStart"/>
      <w:r w:rsidRPr="00156F48">
        <w:rPr>
          <w:rFonts w:ascii="Garamond" w:hAnsi="Garamond" w:cs="Arial"/>
        </w:rPr>
        <w:t>criterio</w:t>
      </w:r>
      <w:proofErr w:type="spellEnd"/>
      <w:r w:rsidRPr="00156F48">
        <w:rPr>
          <w:rFonts w:ascii="Garamond" w:hAnsi="Garamond" w:cs="Arial"/>
        </w:rPr>
        <w:t xml:space="preserve"> de la Corte, </w:t>
      </w:r>
      <w:proofErr w:type="spellStart"/>
      <w:r w:rsidRPr="00156F48">
        <w:rPr>
          <w:rFonts w:ascii="Garamond" w:hAnsi="Garamond" w:cs="Arial"/>
        </w:rPr>
        <w:t>ello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implica</w:t>
      </w:r>
      <w:proofErr w:type="spellEnd"/>
      <w:r w:rsidRPr="00156F48">
        <w:rPr>
          <w:rFonts w:ascii="Garamond" w:hAnsi="Garamond" w:cs="Arial"/>
        </w:rPr>
        <w:t xml:space="preserve"> que </w:t>
      </w:r>
      <w:proofErr w:type="spellStart"/>
      <w:r w:rsidRPr="00156F48">
        <w:rPr>
          <w:rFonts w:ascii="Garamond" w:hAnsi="Garamond" w:cs="Arial"/>
        </w:rPr>
        <w:t>cualquier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autoridad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pública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carácter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administrativo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legislativo</w:t>
      </w:r>
      <w:proofErr w:type="spellEnd"/>
      <w:r w:rsidRPr="00156F48">
        <w:rPr>
          <w:rFonts w:ascii="Garamond" w:hAnsi="Garamond" w:cs="Arial"/>
        </w:rPr>
        <w:t xml:space="preserve"> o </w:t>
      </w:r>
      <w:proofErr w:type="spellStart"/>
      <w:r w:rsidRPr="00156F48">
        <w:rPr>
          <w:rFonts w:ascii="Garamond" w:hAnsi="Garamond" w:cs="Arial"/>
        </w:rPr>
        <w:t>judicial</w:t>
      </w:r>
      <w:proofErr w:type="spellEnd"/>
      <w:r w:rsidRPr="00156F48">
        <w:rPr>
          <w:rFonts w:ascii="Garamond" w:hAnsi="Garamond" w:cs="Arial"/>
        </w:rPr>
        <w:t xml:space="preserve"> que </w:t>
      </w:r>
      <w:proofErr w:type="spellStart"/>
      <w:r w:rsidRPr="00156F48">
        <w:rPr>
          <w:rFonts w:ascii="Garamond" w:hAnsi="Garamond" w:cs="Arial"/>
        </w:rPr>
        <w:t>ejerza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funciones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materialmente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jurisdiccionales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debe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ceñirse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estrictamente</w:t>
      </w:r>
      <w:proofErr w:type="spellEnd"/>
      <w:r w:rsidRPr="00156F48">
        <w:rPr>
          <w:rFonts w:ascii="Garamond" w:hAnsi="Garamond" w:cs="Arial"/>
        </w:rPr>
        <w:t xml:space="preserve"> a las </w:t>
      </w:r>
      <w:proofErr w:type="spellStart"/>
      <w:r w:rsidRPr="00156F48">
        <w:rPr>
          <w:rFonts w:ascii="Garamond" w:hAnsi="Garamond" w:cs="Arial"/>
        </w:rPr>
        <w:t>garantías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independencia</w:t>
      </w:r>
      <w:proofErr w:type="spellEnd"/>
      <w:r w:rsidRPr="00156F48">
        <w:rPr>
          <w:rFonts w:ascii="Garamond" w:hAnsi="Garamond" w:cs="Arial"/>
        </w:rPr>
        <w:t xml:space="preserve"> e </w:t>
      </w:r>
      <w:proofErr w:type="spellStart"/>
      <w:r w:rsidRPr="00156F48">
        <w:rPr>
          <w:rFonts w:ascii="Garamond" w:hAnsi="Garamond" w:cs="Arial"/>
        </w:rPr>
        <w:t>imparcialidad</w:t>
      </w:r>
      <w:proofErr w:type="spellEnd"/>
      <w:r w:rsidRPr="00156F48">
        <w:rPr>
          <w:rFonts w:ascii="Garamond" w:hAnsi="Garamond" w:cs="Arial"/>
        </w:rPr>
        <w:t xml:space="preserve"> y conforme al </w:t>
      </w:r>
      <w:proofErr w:type="spellStart"/>
      <w:r w:rsidRPr="00156F48">
        <w:rPr>
          <w:rFonts w:ascii="Garamond" w:hAnsi="Garamond" w:cs="Arial"/>
        </w:rPr>
        <w:t>debido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proceso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legal</w:t>
      </w:r>
      <w:proofErr w:type="spellEnd"/>
      <w:r w:rsidRPr="00156F48">
        <w:rPr>
          <w:rFonts w:ascii="Garamond" w:hAnsi="Garamond" w:cs="Arial"/>
        </w:rPr>
        <w:t xml:space="preserve"> en sus </w:t>
      </w:r>
      <w:proofErr w:type="spellStart"/>
      <w:r w:rsidRPr="00156F48">
        <w:rPr>
          <w:rFonts w:ascii="Garamond" w:hAnsi="Garamond" w:cs="Arial"/>
        </w:rPr>
        <w:t>resoluciones</w:t>
      </w:r>
      <w:proofErr w:type="spellEnd"/>
      <w:r w:rsidRPr="00156F48">
        <w:rPr>
          <w:rFonts w:ascii="Garamond" w:hAnsi="Garamond" w:cs="Arial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Tribunal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Constitucional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71). </w:t>
      </w:r>
    </w:p>
    <w:p w14:paraId="7BBB4A93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La primera </w:t>
      </w:r>
      <w:proofErr w:type="spellStart"/>
      <w:r w:rsidRPr="00156F48">
        <w:rPr>
          <w:rFonts w:ascii="Garamond" w:hAnsi="Garamond" w:cs="Arial"/>
          <w:color w:val="000000"/>
        </w:rPr>
        <w:t>ocasión</w:t>
      </w:r>
      <w:proofErr w:type="spellEnd"/>
      <w:r w:rsidRPr="00156F48">
        <w:rPr>
          <w:rFonts w:ascii="Garamond" w:hAnsi="Garamond" w:cs="Arial"/>
          <w:color w:val="000000"/>
        </w:rPr>
        <w:t xml:space="preserve"> de notable </w:t>
      </w:r>
      <w:proofErr w:type="spellStart"/>
      <w:r w:rsidRPr="00156F48">
        <w:rPr>
          <w:rFonts w:ascii="Garamond" w:hAnsi="Garamond" w:cs="Arial"/>
          <w:color w:val="000000"/>
        </w:rPr>
        <w:t>relevancia</w:t>
      </w:r>
      <w:proofErr w:type="spellEnd"/>
      <w:r w:rsidRPr="00156F48">
        <w:rPr>
          <w:rFonts w:ascii="Garamond" w:hAnsi="Garamond" w:cs="Arial"/>
          <w:color w:val="000000"/>
        </w:rPr>
        <w:t xml:space="preserve"> en que la Corte </w:t>
      </w:r>
      <w:proofErr w:type="spellStart"/>
      <w:r w:rsidRPr="00156F48">
        <w:rPr>
          <w:rFonts w:ascii="Garamond" w:hAnsi="Garamond" w:cs="Arial"/>
          <w:color w:val="000000"/>
        </w:rPr>
        <w:t>Interamericana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pronunció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particularmente</w:t>
      </w:r>
      <w:proofErr w:type="spellEnd"/>
      <w:r w:rsidRPr="00156F48">
        <w:rPr>
          <w:rFonts w:ascii="Garamond" w:hAnsi="Garamond" w:cs="Arial"/>
          <w:color w:val="000000"/>
        </w:rPr>
        <w:t xml:space="preserve"> sobre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fue</w:t>
      </w:r>
      <w:proofErr w:type="spellEnd"/>
      <w:r w:rsidRPr="00156F48">
        <w:rPr>
          <w:rFonts w:ascii="Garamond" w:hAnsi="Garamond" w:cs="Arial"/>
          <w:color w:val="000000"/>
        </w:rPr>
        <w:t xml:space="preserve"> en el </w:t>
      </w:r>
      <w:proofErr w:type="spellStart"/>
      <w:r w:rsidRPr="00156F48">
        <w:rPr>
          <w:rFonts w:ascii="Garamond" w:hAnsi="Garamond" w:cs="Arial"/>
          <w:color w:val="000000"/>
        </w:rPr>
        <w:t>caso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Tribunal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Constitucional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, </w:t>
      </w:r>
      <w:r w:rsidRPr="00156F48">
        <w:rPr>
          <w:rFonts w:ascii="Garamond" w:hAnsi="Garamond" w:cs="Arial"/>
          <w:color w:val="000000"/>
        </w:rPr>
        <w:t xml:space="preserve">sentencia </w:t>
      </w:r>
      <w:proofErr w:type="spellStart"/>
      <w:r w:rsidRPr="00156F48">
        <w:rPr>
          <w:rFonts w:ascii="Garamond" w:hAnsi="Garamond" w:cs="Arial"/>
          <w:color w:val="000000"/>
        </w:rPr>
        <w:t>emitida</w:t>
      </w:r>
      <w:proofErr w:type="spellEnd"/>
      <w:r w:rsidRPr="00156F48">
        <w:rPr>
          <w:rFonts w:ascii="Garamond" w:hAnsi="Garamond" w:cs="Arial"/>
          <w:color w:val="000000"/>
        </w:rPr>
        <w:t xml:space="preserve"> el 31 de </w:t>
      </w:r>
      <w:proofErr w:type="spellStart"/>
      <w:r w:rsidRPr="00156F48">
        <w:rPr>
          <w:rFonts w:ascii="Garamond" w:hAnsi="Garamond" w:cs="Arial"/>
          <w:color w:val="000000"/>
        </w:rPr>
        <w:t>enero</w:t>
      </w:r>
      <w:proofErr w:type="spellEnd"/>
      <w:r w:rsidRPr="00156F48">
        <w:rPr>
          <w:rFonts w:ascii="Garamond" w:hAnsi="Garamond" w:cs="Arial"/>
          <w:color w:val="000000"/>
        </w:rPr>
        <w:t xml:space="preserve"> de 2001. A partir de </w:t>
      </w:r>
      <w:proofErr w:type="spellStart"/>
      <w:r w:rsidRPr="00156F48">
        <w:rPr>
          <w:rFonts w:ascii="Garamond" w:hAnsi="Garamond" w:cs="Arial"/>
          <w:color w:val="000000"/>
        </w:rPr>
        <w:t>ese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momento</w:t>
      </w:r>
      <w:proofErr w:type="spellEnd"/>
      <w:r w:rsidRPr="00156F48">
        <w:rPr>
          <w:rFonts w:ascii="Garamond" w:hAnsi="Garamond" w:cs="Arial"/>
          <w:color w:val="000000"/>
        </w:rPr>
        <w:t xml:space="preserve">, el Tribunal de San José se ha </w:t>
      </w:r>
      <w:proofErr w:type="spellStart"/>
      <w:r w:rsidRPr="00156F48">
        <w:rPr>
          <w:rFonts w:ascii="Garamond" w:hAnsi="Garamond" w:cs="Arial"/>
          <w:color w:val="000000"/>
        </w:rPr>
        <w:t>referido</w:t>
      </w:r>
      <w:proofErr w:type="spellEnd"/>
      <w:r w:rsidRPr="00156F48">
        <w:rPr>
          <w:rFonts w:ascii="Garamond" w:hAnsi="Garamond" w:cs="Arial"/>
          <w:color w:val="000000"/>
        </w:rPr>
        <w:t xml:space="preserve"> a este </w:t>
      </w:r>
      <w:proofErr w:type="spellStart"/>
      <w:r w:rsidRPr="00156F48">
        <w:rPr>
          <w:rFonts w:ascii="Garamond" w:hAnsi="Garamond" w:cs="Arial"/>
          <w:color w:val="000000"/>
        </w:rPr>
        <w:t>tema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varios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asuntos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ejemplo</w:t>
      </w:r>
      <w:proofErr w:type="spellEnd"/>
      <w:r w:rsidRPr="00156F48">
        <w:rPr>
          <w:rFonts w:ascii="Garamond" w:hAnsi="Garamond" w:cs="Arial"/>
          <w:color w:val="000000"/>
        </w:rPr>
        <w:t>: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Palamara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Iribarne vs Chile</w:t>
      </w:r>
      <w:r w:rsidRPr="00156F48">
        <w:rPr>
          <w:rFonts w:ascii="Garamond" w:hAnsi="Garamond" w:cs="Arial"/>
          <w:color w:val="000000"/>
        </w:rPr>
        <w:t xml:space="preserve">, sentencia de 22 de </w:t>
      </w:r>
      <w:proofErr w:type="spellStart"/>
      <w:r w:rsidRPr="00156F48">
        <w:rPr>
          <w:rFonts w:ascii="Garamond" w:hAnsi="Garamond" w:cs="Arial"/>
          <w:color w:val="000000"/>
        </w:rPr>
        <w:t>noviembre</w:t>
      </w:r>
      <w:proofErr w:type="spellEnd"/>
      <w:r w:rsidRPr="00156F48">
        <w:rPr>
          <w:rFonts w:ascii="Garamond" w:hAnsi="Garamond" w:cs="Arial"/>
          <w:color w:val="000000"/>
        </w:rPr>
        <w:t xml:space="preserve"> de 2005,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145 y </w:t>
      </w:r>
      <w:proofErr w:type="gramStart"/>
      <w:r w:rsidRPr="00156F48">
        <w:rPr>
          <w:rFonts w:ascii="Garamond" w:hAnsi="Garamond" w:cs="Arial"/>
          <w:color w:val="000000"/>
        </w:rPr>
        <w:t>156;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Apitz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Barbera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(“Corte Primera de lo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Contencioso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Administrativo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”) vs Venezuela</w:t>
      </w:r>
      <w:r w:rsidRPr="00156F48">
        <w:rPr>
          <w:rFonts w:ascii="Garamond" w:hAnsi="Garamond" w:cs="Arial"/>
          <w:color w:val="000000"/>
        </w:rPr>
        <w:t xml:space="preserve">, sentencia de 5 de </w:t>
      </w:r>
      <w:proofErr w:type="spellStart"/>
      <w:r w:rsidRPr="00156F48">
        <w:rPr>
          <w:rFonts w:ascii="Garamond" w:hAnsi="Garamond" w:cs="Arial"/>
          <w:color w:val="000000"/>
        </w:rPr>
        <w:t>agosto</w:t>
      </w:r>
      <w:proofErr w:type="spellEnd"/>
      <w:r w:rsidRPr="00156F48">
        <w:rPr>
          <w:rFonts w:ascii="Garamond" w:hAnsi="Garamond" w:cs="Arial"/>
          <w:color w:val="000000"/>
        </w:rPr>
        <w:t xml:space="preserve"> de 2008,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43 a 45, 84 y </w:t>
      </w:r>
      <w:proofErr w:type="gramStart"/>
      <w:r w:rsidRPr="00156F48">
        <w:rPr>
          <w:rFonts w:ascii="Garamond" w:hAnsi="Garamond" w:cs="Arial"/>
          <w:color w:val="000000"/>
        </w:rPr>
        <w:t>138;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Reverón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Trujillo vs Venezuela</w:t>
      </w:r>
      <w:r w:rsidRPr="00156F48">
        <w:rPr>
          <w:rFonts w:ascii="Garamond" w:hAnsi="Garamond" w:cs="Arial"/>
          <w:color w:val="000000"/>
        </w:rPr>
        <w:t xml:space="preserve">, sentencia de 30 de </w:t>
      </w:r>
      <w:proofErr w:type="spellStart"/>
      <w:r w:rsidRPr="00156F48">
        <w:rPr>
          <w:rFonts w:ascii="Garamond" w:hAnsi="Garamond" w:cs="Arial"/>
          <w:color w:val="000000"/>
        </w:rPr>
        <w:t>junio</w:t>
      </w:r>
      <w:proofErr w:type="spellEnd"/>
      <w:r w:rsidRPr="00156F48">
        <w:rPr>
          <w:rFonts w:ascii="Garamond" w:hAnsi="Garamond" w:cs="Arial"/>
          <w:color w:val="000000"/>
        </w:rPr>
        <w:t xml:space="preserve"> de 2009,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67, 68, 70 a </w:t>
      </w:r>
      <w:proofErr w:type="gramStart"/>
      <w:r w:rsidRPr="00156F48">
        <w:rPr>
          <w:rFonts w:ascii="Garamond" w:hAnsi="Garamond" w:cs="Arial"/>
          <w:color w:val="000000"/>
        </w:rPr>
        <w:t>81;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Chocrón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Chocrón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Venezuela</w:t>
      </w:r>
      <w:r w:rsidRPr="00156F48">
        <w:rPr>
          <w:rFonts w:ascii="Garamond" w:hAnsi="Garamond" w:cs="Arial"/>
          <w:color w:val="000000"/>
        </w:rPr>
        <w:t xml:space="preserve">, sentencia de 1 de </w:t>
      </w:r>
      <w:proofErr w:type="spellStart"/>
      <w:r w:rsidRPr="00156F48">
        <w:rPr>
          <w:rFonts w:ascii="Garamond" w:hAnsi="Garamond" w:cs="Arial"/>
          <w:color w:val="000000"/>
        </w:rPr>
        <w:t>julio</w:t>
      </w:r>
      <w:proofErr w:type="spellEnd"/>
      <w:r w:rsidRPr="00156F48">
        <w:rPr>
          <w:rFonts w:ascii="Garamond" w:hAnsi="Garamond" w:cs="Arial"/>
          <w:color w:val="000000"/>
        </w:rPr>
        <w:t xml:space="preserve"> de 2011,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97 a </w:t>
      </w:r>
      <w:proofErr w:type="gramStart"/>
      <w:r w:rsidRPr="00156F48">
        <w:rPr>
          <w:rFonts w:ascii="Garamond" w:hAnsi="Garamond" w:cs="Arial"/>
          <w:color w:val="000000"/>
        </w:rPr>
        <w:t>100;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Atala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Riffo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niñas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Chile</w:t>
      </w:r>
      <w:r w:rsidRPr="00156F48">
        <w:rPr>
          <w:rFonts w:ascii="Garamond" w:hAnsi="Garamond" w:cs="Arial"/>
          <w:color w:val="000000"/>
        </w:rPr>
        <w:t xml:space="preserve">, sentencia de 24 de </w:t>
      </w:r>
      <w:proofErr w:type="spellStart"/>
      <w:r w:rsidRPr="00156F48">
        <w:rPr>
          <w:rFonts w:ascii="Garamond" w:hAnsi="Garamond" w:cs="Arial"/>
          <w:color w:val="000000"/>
        </w:rPr>
        <w:t>febrero</w:t>
      </w:r>
      <w:proofErr w:type="spellEnd"/>
      <w:r w:rsidRPr="00156F48">
        <w:rPr>
          <w:rFonts w:ascii="Garamond" w:hAnsi="Garamond" w:cs="Arial"/>
          <w:color w:val="000000"/>
        </w:rPr>
        <w:t xml:space="preserve"> de 2012,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186;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Corte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Suprema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Justicia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(Quintana Coello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)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color w:val="000000"/>
        </w:rPr>
        <w:t xml:space="preserve">, sentencia de 23 de </w:t>
      </w:r>
      <w:proofErr w:type="spellStart"/>
      <w:r w:rsidRPr="00156F48">
        <w:rPr>
          <w:rFonts w:ascii="Garamond" w:hAnsi="Garamond" w:cs="Arial"/>
          <w:color w:val="000000"/>
        </w:rPr>
        <w:t>agosto</w:t>
      </w:r>
      <w:proofErr w:type="spellEnd"/>
      <w:r w:rsidRPr="00156F48">
        <w:rPr>
          <w:rFonts w:ascii="Garamond" w:hAnsi="Garamond" w:cs="Arial"/>
          <w:color w:val="000000"/>
        </w:rPr>
        <w:t xml:space="preserve"> de 2013,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144 a </w:t>
      </w:r>
      <w:proofErr w:type="gramStart"/>
      <w:r w:rsidRPr="00156F48">
        <w:rPr>
          <w:rFonts w:ascii="Garamond" w:hAnsi="Garamond" w:cs="Arial"/>
          <w:color w:val="000000"/>
        </w:rPr>
        <w:t>154;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Tribunal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Constitucional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(Camba Campos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)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color w:val="000000"/>
        </w:rPr>
        <w:t xml:space="preserve">, sentencia de 28 de </w:t>
      </w:r>
      <w:proofErr w:type="spellStart"/>
      <w:r w:rsidRPr="00156F48">
        <w:rPr>
          <w:rFonts w:ascii="Garamond" w:hAnsi="Garamond" w:cs="Arial"/>
          <w:color w:val="000000"/>
        </w:rPr>
        <w:t>agosto</w:t>
      </w:r>
      <w:proofErr w:type="spellEnd"/>
      <w:r w:rsidRPr="00156F48">
        <w:rPr>
          <w:rFonts w:ascii="Garamond" w:hAnsi="Garamond" w:cs="Arial"/>
          <w:color w:val="000000"/>
        </w:rPr>
        <w:t xml:space="preserve"> de 2013,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188 a </w:t>
      </w:r>
      <w:proofErr w:type="gramStart"/>
      <w:r w:rsidRPr="00156F48">
        <w:rPr>
          <w:rFonts w:ascii="Garamond" w:hAnsi="Garamond" w:cs="Arial"/>
          <w:color w:val="000000"/>
        </w:rPr>
        <w:t>198;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Argüelle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Argentina</w:t>
      </w:r>
      <w:r w:rsidRPr="00156F48">
        <w:rPr>
          <w:rFonts w:ascii="Garamond" w:hAnsi="Garamond" w:cs="Arial"/>
          <w:color w:val="000000"/>
        </w:rPr>
        <w:t xml:space="preserve">, sentencia de 20 de </w:t>
      </w:r>
      <w:proofErr w:type="spellStart"/>
      <w:r w:rsidRPr="00156F48">
        <w:rPr>
          <w:rFonts w:ascii="Garamond" w:hAnsi="Garamond" w:cs="Arial"/>
          <w:color w:val="000000"/>
        </w:rPr>
        <w:t>noviembre</w:t>
      </w:r>
      <w:proofErr w:type="spellEnd"/>
      <w:r w:rsidRPr="00156F48">
        <w:rPr>
          <w:rFonts w:ascii="Garamond" w:hAnsi="Garamond" w:cs="Arial"/>
          <w:color w:val="000000"/>
        </w:rPr>
        <w:t xml:space="preserve"> de 2014,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147;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López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Lone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Honduras</w:t>
      </w:r>
      <w:r w:rsidRPr="00156F48">
        <w:rPr>
          <w:rFonts w:ascii="Garamond" w:hAnsi="Garamond" w:cs="Arial"/>
          <w:color w:val="000000"/>
        </w:rPr>
        <w:t xml:space="preserve">, sentencia de 5 de </w:t>
      </w:r>
      <w:proofErr w:type="spellStart"/>
      <w:r w:rsidRPr="00156F48">
        <w:rPr>
          <w:rFonts w:ascii="Garamond" w:hAnsi="Garamond" w:cs="Arial"/>
          <w:color w:val="000000"/>
        </w:rPr>
        <w:t>octubre</w:t>
      </w:r>
      <w:proofErr w:type="spellEnd"/>
      <w:r w:rsidRPr="00156F48">
        <w:rPr>
          <w:rFonts w:ascii="Garamond" w:hAnsi="Garamond" w:cs="Arial"/>
          <w:color w:val="000000"/>
        </w:rPr>
        <w:t xml:space="preserve"> de 2015,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190 a </w:t>
      </w:r>
      <w:proofErr w:type="gramStart"/>
      <w:r w:rsidRPr="00156F48">
        <w:rPr>
          <w:rFonts w:ascii="Garamond" w:hAnsi="Garamond" w:cs="Arial"/>
          <w:color w:val="000000"/>
        </w:rPr>
        <w:t>199;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Valencia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Hinojosa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color w:val="000000"/>
        </w:rPr>
        <w:t xml:space="preserve">, sentencia de 29 de </w:t>
      </w:r>
      <w:proofErr w:type="spellStart"/>
      <w:r w:rsidRPr="00156F48">
        <w:rPr>
          <w:rFonts w:ascii="Garamond" w:hAnsi="Garamond" w:cs="Arial"/>
          <w:color w:val="000000"/>
        </w:rPr>
        <w:t>noviembre</w:t>
      </w:r>
      <w:proofErr w:type="spellEnd"/>
      <w:r w:rsidRPr="00156F48">
        <w:rPr>
          <w:rFonts w:ascii="Garamond" w:hAnsi="Garamond" w:cs="Arial"/>
          <w:color w:val="000000"/>
        </w:rPr>
        <w:t xml:space="preserve"> de 2016,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105;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Acosta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Nicaragua</w:t>
      </w:r>
      <w:r w:rsidRPr="00156F48">
        <w:rPr>
          <w:rFonts w:ascii="Garamond" w:hAnsi="Garamond" w:cs="Arial"/>
          <w:color w:val="000000"/>
        </w:rPr>
        <w:t xml:space="preserve">, sentencia </w:t>
      </w:r>
      <w:r w:rsidRPr="00156F48">
        <w:rPr>
          <w:rFonts w:ascii="Garamond" w:hAnsi="Garamond" w:cs="Arial"/>
          <w:color w:val="000000"/>
        </w:rPr>
        <w:lastRenderedPageBreak/>
        <w:t xml:space="preserve">de 25 de </w:t>
      </w:r>
      <w:proofErr w:type="spellStart"/>
      <w:r w:rsidRPr="00156F48">
        <w:rPr>
          <w:rFonts w:ascii="Garamond" w:hAnsi="Garamond" w:cs="Arial"/>
          <w:color w:val="000000"/>
        </w:rPr>
        <w:t>marzo</w:t>
      </w:r>
      <w:proofErr w:type="spellEnd"/>
      <w:r w:rsidRPr="00156F48">
        <w:rPr>
          <w:rFonts w:ascii="Garamond" w:hAnsi="Garamond" w:cs="Arial"/>
          <w:color w:val="000000"/>
        </w:rPr>
        <w:t xml:space="preserve"> de 2017,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171;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San Miguel Sosa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otras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Venezuela</w:t>
      </w:r>
      <w:r w:rsidRPr="00156F48">
        <w:rPr>
          <w:rFonts w:ascii="Garamond" w:hAnsi="Garamond" w:cs="Arial"/>
          <w:color w:val="000000"/>
        </w:rPr>
        <w:t xml:space="preserve">, sentencia de 8 de </w:t>
      </w:r>
      <w:proofErr w:type="spellStart"/>
      <w:r w:rsidRPr="00156F48">
        <w:rPr>
          <w:rFonts w:ascii="Garamond" w:hAnsi="Garamond" w:cs="Arial"/>
          <w:color w:val="000000"/>
        </w:rPr>
        <w:t>febrero</w:t>
      </w:r>
      <w:proofErr w:type="spellEnd"/>
      <w:r w:rsidRPr="00156F48">
        <w:rPr>
          <w:rFonts w:ascii="Garamond" w:hAnsi="Garamond" w:cs="Arial"/>
          <w:color w:val="000000"/>
        </w:rPr>
        <w:t xml:space="preserve"> de 2018,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207;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Colindres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Schonenberg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El Salvador</w:t>
      </w:r>
      <w:r w:rsidRPr="00156F48">
        <w:rPr>
          <w:rFonts w:ascii="Garamond" w:hAnsi="Garamond" w:cs="Arial"/>
          <w:color w:val="000000"/>
        </w:rPr>
        <w:t xml:space="preserve">, sentencia de 4 de </w:t>
      </w:r>
      <w:proofErr w:type="spellStart"/>
      <w:r w:rsidRPr="00156F48">
        <w:rPr>
          <w:rFonts w:ascii="Garamond" w:hAnsi="Garamond" w:cs="Arial"/>
          <w:color w:val="000000"/>
        </w:rPr>
        <w:t>febrero</w:t>
      </w:r>
      <w:proofErr w:type="spellEnd"/>
      <w:r w:rsidRPr="00156F48">
        <w:rPr>
          <w:rFonts w:ascii="Garamond" w:hAnsi="Garamond" w:cs="Arial"/>
          <w:color w:val="000000"/>
        </w:rPr>
        <w:t xml:space="preserve"> de 2019,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68 y </w:t>
      </w:r>
      <w:proofErr w:type="gramStart"/>
      <w:r w:rsidRPr="00156F48">
        <w:rPr>
          <w:rFonts w:ascii="Garamond" w:hAnsi="Garamond" w:cs="Arial"/>
          <w:color w:val="000000"/>
        </w:rPr>
        <w:t>69;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Villaseñor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Velarde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Guatemala</w:t>
      </w:r>
      <w:r w:rsidRPr="00156F48">
        <w:rPr>
          <w:rFonts w:ascii="Garamond" w:hAnsi="Garamond" w:cs="Arial"/>
          <w:color w:val="000000"/>
        </w:rPr>
        <w:t xml:space="preserve">, sentencia de 5 de </w:t>
      </w:r>
      <w:proofErr w:type="spellStart"/>
      <w:r w:rsidRPr="00156F48">
        <w:rPr>
          <w:rFonts w:ascii="Garamond" w:hAnsi="Garamond" w:cs="Arial"/>
          <w:color w:val="000000"/>
        </w:rPr>
        <w:t>febrero</w:t>
      </w:r>
      <w:proofErr w:type="spellEnd"/>
      <w:r w:rsidRPr="00156F48">
        <w:rPr>
          <w:rFonts w:ascii="Garamond" w:hAnsi="Garamond" w:cs="Arial"/>
          <w:color w:val="000000"/>
        </w:rPr>
        <w:t xml:space="preserve"> de 2019,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75, 83 y </w:t>
      </w:r>
      <w:proofErr w:type="gramStart"/>
      <w:r w:rsidRPr="00156F48">
        <w:rPr>
          <w:rFonts w:ascii="Garamond" w:hAnsi="Garamond" w:cs="Arial"/>
          <w:color w:val="000000"/>
        </w:rPr>
        <w:t>84;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>Rico vs Argentina</w:t>
      </w:r>
      <w:r w:rsidRPr="00156F48">
        <w:rPr>
          <w:rFonts w:ascii="Garamond" w:hAnsi="Garamond" w:cs="Arial"/>
          <w:color w:val="000000"/>
        </w:rPr>
        <w:t xml:space="preserve">, sentencia de 2 de </w:t>
      </w:r>
      <w:proofErr w:type="spellStart"/>
      <w:r w:rsidRPr="00156F48">
        <w:rPr>
          <w:rFonts w:ascii="Garamond" w:hAnsi="Garamond" w:cs="Arial"/>
          <w:color w:val="000000"/>
        </w:rPr>
        <w:t>septiembre</w:t>
      </w:r>
      <w:proofErr w:type="spellEnd"/>
      <w:r w:rsidRPr="00156F48">
        <w:rPr>
          <w:rFonts w:ascii="Garamond" w:hAnsi="Garamond" w:cs="Arial"/>
          <w:color w:val="000000"/>
        </w:rPr>
        <w:t xml:space="preserve"> de 2019,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54, 55 y </w:t>
      </w:r>
      <w:proofErr w:type="gramStart"/>
      <w:r w:rsidRPr="00156F48">
        <w:rPr>
          <w:rFonts w:ascii="Garamond" w:hAnsi="Garamond" w:cs="Arial"/>
          <w:color w:val="000000"/>
        </w:rPr>
        <w:t>56;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Urrutia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Laubreaux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Chile</w:t>
      </w:r>
      <w:r w:rsidRPr="00156F48">
        <w:rPr>
          <w:rFonts w:ascii="Garamond" w:hAnsi="Garamond" w:cs="Arial"/>
          <w:color w:val="000000"/>
        </w:rPr>
        <w:t xml:space="preserve">, sentencia de 27 de </w:t>
      </w:r>
      <w:proofErr w:type="spellStart"/>
      <w:r w:rsidRPr="00156F48">
        <w:rPr>
          <w:rFonts w:ascii="Garamond" w:hAnsi="Garamond" w:cs="Arial"/>
          <w:color w:val="000000"/>
        </w:rPr>
        <w:t>agosto</w:t>
      </w:r>
      <w:proofErr w:type="spellEnd"/>
      <w:r w:rsidRPr="00156F48">
        <w:rPr>
          <w:rFonts w:ascii="Garamond" w:hAnsi="Garamond" w:cs="Arial"/>
          <w:color w:val="000000"/>
        </w:rPr>
        <w:t xml:space="preserve"> de 2020,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104 a </w:t>
      </w:r>
      <w:proofErr w:type="gramStart"/>
      <w:r w:rsidRPr="00156F48">
        <w:rPr>
          <w:rFonts w:ascii="Garamond" w:hAnsi="Garamond" w:cs="Arial"/>
          <w:color w:val="000000"/>
        </w:rPr>
        <w:t>110;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Martínez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Esquivia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Colombia, </w:t>
      </w:r>
      <w:r w:rsidRPr="00156F48">
        <w:rPr>
          <w:rFonts w:ascii="Garamond" w:hAnsi="Garamond" w:cs="Arial"/>
          <w:color w:val="000000"/>
        </w:rPr>
        <w:t xml:space="preserve">sentencia de 6 de </w:t>
      </w:r>
      <w:proofErr w:type="spellStart"/>
      <w:r w:rsidRPr="00156F48">
        <w:rPr>
          <w:rFonts w:ascii="Garamond" w:hAnsi="Garamond" w:cs="Arial"/>
          <w:color w:val="000000"/>
        </w:rPr>
        <w:t>octubre</w:t>
      </w:r>
      <w:proofErr w:type="spellEnd"/>
      <w:r w:rsidRPr="00156F48">
        <w:rPr>
          <w:rFonts w:ascii="Garamond" w:hAnsi="Garamond" w:cs="Arial"/>
          <w:color w:val="000000"/>
        </w:rPr>
        <w:t xml:space="preserve"> de 2020,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84 a </w:t>
      </w:r>
      <w:proofErr w:type="gramStart"/>
      <w:r w:rsidRPr="00156F48">
        <w:rPr>
          <w:rFonts w:ascii="Garamond" w:hAnsi="Garamond" w:cs="Arial"/>
          <w:color w:val="000000"/>
        </w:rPr>
        <w:t>99;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Casa Nina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color w:val="000000"/>
        </w:rPr>
        <w:t xml:space="preserve">, sentencia de 24 de </w:t>
      </w:r>
      <w:proofErr w:type="spellStart"/>
      <w:r w:rsidRPr="00156F48">
        <w:rPr>
          <w:rFonts w:ascii="Garamond" w:hAnsi="Garamond" w:cs="Arial"/>
          <w:color w:val="000000"/>
        </w:rPr>
        <w:t>noviembre</w:t>
      </w:r>
      <w:proofErr w:type="spellEnd"/>
      <w:r w:rsidRPr="00156F48">
        <w:rPr>
          <w:rFonts w:ascii="Garamond" w:hAnsi="Garamond" w:cs="Arial"/>
          <w:color w:val="000000"/>
        </w:rPr>
        <w:t xml:space="preserve"> de 2020,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70 a </w:t>
      </w:r>
      <w:proofErr w:type="gramStart"/>
      <w:r w:rsidRPr="00156F48">
        <w:rPr>
          <w:rFonts w:ascii="Garamond" w:hAnsi="Garamond" w:cs="Arial"/>
          <w:color w:val="000000"/>
        </w:rPr>
        <w:t>83;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Cordero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Bernal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color w:val="000000"/>
        </w:rPr>
        <w:t xml:space="preserve">, sentencia de 16 de </w:t>
      </w:r>
      <w:proofErr w:type="spellStart"/>
      <w:r w:rsidRPr="00156F48">
        <w:rPr>
          <w:rFonts w:ascii="Garamond" w:hAnsi="Garamond" w:cs="Arial"/>
          <w:color w:val="000000"/>
        </w:rPr>
        <w:t>febrero</w:t>
      </w:r>
      <w:proofErr w:type="spellEnd"/>
      <w:r w:rsidRPr="00156F48">
        <w:rPr>
          <w:rFonts w:ascii="Garamond" w:hAnsi="Garamond" w:cs="Arial"/>
          <w:color w:val="000000"/>
        </w:rPr>
        <w:t xml:space="preserve"> de 2021,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71 y </w:t>
      </w:r>
      <w:proofErr w:type="gramStart"/>
      <w:r w:rsidRPr="00156F48">
        <w:rPr>
          <w:rFonts w:ascii="Garamond" w:hAnsi="Garamond" w:cs="Arial"/>
          <w:color w:val="000000"/>
        </w:rPr>
        <w:t>72;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Ríos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Avalos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Paraguay</w:t>
      </w:r>
      <w:r w:rsidRPr="00156F48">
        <w:rPr>
          <w:rFonts w:ascii="Garamond" w:hAnsi="Garamond" w:cs="Arial"/>
          <w:color w:val="000000"/>
        </w:rPr>
        <w:t xml:space="preserve">, Sentencia de 19 de </w:t>
      </w:r>
      <w:proofErr w:type="spellStart"/>
      <w:r w:rsidRPr="00156F48">
        <w:rPr>
          <w:rFonts w:ascii="Garamond" w:hAnsi="Garamond" w:cs="Arial"/>
          <w:color w:val="000000"/>
        </w:rPr>
        <w:t>agosto</w:t>
      </w:r>
      <w:proofErr w:type="spellEnd"/>
      <w:r w:rsidRPr="00156F48">
        <w:rPr>
          <w:rFonts w:ascii="Garamond" w:hAnsi="Garamond" w:cs="Arial"/>
          <w:color w:val="000000"/>
        </w:rPr>
        <w:t xml:space="preserve"> de 2021,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85;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Cuya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Lavy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,</w:t>
      </w:r>
      <w:r w:rsidRPr="00156F48">
        <w:rPr>
          <w:rFonts w:ascii="Garamond" w:hAnsi="Garamond" w:cs="Arial"/>
          <w:color w:val="000000"/>
        </w:rPr>
        <w:t xml:space="preserve"> sentencia de 28 de </w:t>
      </w:r>
      <w:proofErr w:type="spellStart"/>
      <w:r w:rsidRPr="00156F48">
        <w:rPr>
          <w:rFonts w:ascii="Garamond" w:hAnsi="Garamond" w:cs="Arial"/>
          <w:color w:val="000000"/>
        </w:rPr>
        <w:t>septiembre</w:t>
      </w:r>
      <w:proofErr w:type="spellEnd"/>
      <w:r w:rsidRPr="00156F48">
        <w:rPr>
          <w:rFonts w:ascii="Garamond" w:hAnsi="Garamond" w:cs="Arial"/>
          <w:color w:val="000000"/>
        </w:rPr>
        <w:t xml:space="preserve"> de 2021,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123;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Nissen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Pessolani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Paraguay</w:t>
      </w:r>
      <w:r w:rsidRPr="00156F48">
        <w:rPr>
          <w:rFonts w:ascii="Garamond" w:hAnsi="Garamond" w:cs="Arial"/>
          <w:color w:val="000000"/>
        </w:rPr>
        <w:t xml:space="preserve">, sentencia de 21 de </w:t>
      </w:r>
      <w:proofErr w:type="spellStart"/>
      <w:r w:rsidRPr="00156F48">
        <w:rPr>
          <w:rFonts w:ascii="Garamond" w:hAnsi="Garamond" w:cs="Arial"/>
          <w:color w:val="000000"/>
        </w:rPr>
        <w:t>noviembre</w:t>
      </w:r>
      <w:proofErr w:type="spellEnd"/>
      <w:r w:rsidRPr="00156F48">
        <w:rPr>
          <w:rFonts w:ascii="Garamond" w:hAnsi="Garamond" w:cs="Arial"/>
          <w:color w:val="000000"/>
        </w:rPr>
        <w:t xml:space="preserve"> de 2022,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57;</w:t>
      </w:r>
      <w:proofErr w:type="gram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Aguinaga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Aillón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color w:val="000000"/>
        </w:rPr>
        <w:t xml:space="preserve">, sentencia de 30 de </w:t>
      </w:r>
      <w:proofErr w:type="spellStart"/>
      <w:r w:rsidRPr="00156F48">
        <w:rPr>
          <w:rFonts w:ascii="Garamond" w:hAnsi="Garamond" w:cs="Arial"/>
          <w:color w:val="000000"/>
        </w:rPr>
        <w:t>enero</w:t>
      </w:r>
      <w:proofErr w:type="spellEnd"/>
      <w:r w:rsidRPr="00156F48">
        <w:rPr>
          <w:rFonts w:ascii="Garamond" w:hAnsi="Garamond" w:cs="Arial"/>
          <w:color w:val="000000"/>
        </w:rPr>
        <w:t xml:space="preserve"> de 2023,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61 </w:t>
      </w:r>
      <w:proofErr w:type="gramStart"/>
      <w:r w:rsidRPr="00156F48">
        <w:rPr>
          <w:rFonts w:ascii="Garamond" w:hAnsi="Garamond" w:cs="Arial"/>
          <w:color w:val="000000"/>
        </w:rPr>
        <w:t>a</w:t>
      </w:r>
      <w:proofErr w:type="gramEnd"/>
      <w:r w:rsidRPr="00156F48">
        <w:rPr>
          <w:rFonts w:ascii="Garamond" w:hAnsi="Garamond" w:cs="Arial"/>
          <w:color w:val="000000"/>
        </w:rPr>
        <w:t xml:space="preserve"> 73, 91 y 92.</w:t>
      </w:r>
    </w:p>
    <w:p w14:paraId="4BA7F047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La 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 ha </w:t>
      </w:r>
      <w:proofErr w:type="spellStart"/>
      <w:r w:rsidRPr="00156F48">
        <w:rPr>
          <w:rFonts w:ascii="Garamond" w:hAnsi="Garamond" w:cs="Arial"/>
          <w:color w:val="000000"/>
        </w:rPr>
        <w:t>establecido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obligación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garantizar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en dos </w:t>
      </w:r>
      <w:proofErr w:type="spellStart"/>
      <w:r w:rsidRPr="00156F48">
        <w:rPr>
          <w:rFonts w:ascii="Garamond" w:hAnsi="Garamond" w:cs="Arial"/>
          <w:color w:val="000000"/>
        </w:rPr>
        <w:t>ámbitos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parte, se </w:t>
      </w:r>
      <w:proofErr w:type="spellStart"/>
      <w:r w:rsidRPr="00156F48">
        <w:rPr>
          <w:rFonts w:ascii="Garamond" w:hAnsi="Garamond" w:cs="Arial"/>
          <w:color w:val="000000"/>
        </w:rPr>
        <w:t>debe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proteger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faceta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institucional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cual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implica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sistema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en su </w:t>
      </w:r>
      <w:proofErr w:type="spellStart"/>
      <w:r w:rsidRPr="00156F48">
        <w:rPr>
          <w:rFonts w:ascii="Garamond" w:hAnsi="Garamond" w:cs="Arial"/>
          <w:color w:val="000000"/>
        </w:rPr>
        <w:t>conjunto</w:t>
      </w:r>
      <w:proofErr w:type="spellEnd"/>
      <w:r w:rsidRPr="00156F48">
        <w:rPr>
          <w:rFonts w:ascii="Garamond" w:hAnsi="Garamond" w:cs="Arial"/>
          <w:color w:val="000000"/>
        </w:rPr>
        <w:t xml:space="preserve">, y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otra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faceta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individual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cuanto</w:t>
      </w:r>
      <w:proofErr w:type="spellEnd"/>
      <w:r w:rsidRPr="00156F48">
        <w:rPr>
          <w:rFonts w:ascii="Garamond" w:hAnsi="Garamond" w:cs="Arial"/>
          <w:color w:val="000000"/>
        </w:rPr>
        <w:t xml:space="preserve"> a la persona que </w:t>
      </w:r>
      <w:proofErr w:type="spellStart"/>
      <w:r w:rsidRPr="00156F48">
        <w:rPr>
          <w:rFonts w:ascii="Garamond" w:hAnsi="Garamond" w:cs="Arial"/>
          <w:color w:val="000000"/>
        </w:rPr>
        <w:t>ejerce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jurisdiccional</w:t>
      </w:r>
      <w:proofErr w:type="spellEnd"/>
      <w:r w:rsidRPr="00156F48">
        <w:rPr>
          <w:rFonts w:ascii="Garamond" w:hAnsi="Garamond" w:cs="Arial"/>
          <w:color w:val="000000"/>
        </w:rPr>
        <w:t xml:space="preserve">, es </w:t>
      </w:r>
      <w:proofErr w:type="spellStart"/>
      <w:r w:rsidRPr="00156F48">
        <w:rPr>
          <w:rFonts w:ascii="Garamond" w:hAnsi="Garamond" w:cs="Arial"/>
          <w:color w:val="000000"/>
        </w:rPr>
        <w:t>decir</w:t>
      </w:r>
      <w:proofErr w:type="spellEnd"/>
      <w:r w:rsidRPr="00156F48">
        <w:rPr>
          <w:rFonts w:ascii="Garamond" w:hAnsi="Garamond" w:cs="Arial"/>
          <w:color w:val="000000"/>
        </w:rPr>
        <w:t xml:space="preserve">, los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 xml:space="preserve"> y en </w:t>
      </w:r>
      <w:proofErr w:type="spellStart"/>
      <w:r w:rsidRPr="00156F48">
        <w:rPr>
          <w:rFonts w:ascii="Garamond" w:hAnsi="Garamond" w:cs="Arial"/>
          <w:color w:val="000000"/>
        </w:rPr>
        <w:t>especial</w:t>
      </w:r>
      <w:proofErr w:type="spellEnd"/>
      <w:r w:rsidRPr="00156F48">
        <w:rPr>
          <w:rFonts w:ascii="Garamond" w:hAnsi="Garamond" w:cs="Arial"/>
          <w:color w:val="000000"/>
        </w:rPr>
        <w:t xml:space="preserve">, las y los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constitucionales</w:t>
      </w:r>
      <w:proofErr w:type="spell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véanse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 xml:space="preserve">Tribunal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Constitucional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75,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Reverón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Trujillo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67). </w:t>
      </w:r>
      <w:proofErr w:type="spellStart"/>
      <w:r w:rsidRPr="00156F48">
        <w:rPr>
          <w:rFonts w:ascii="Garamond" w:hAnsi="Garamond" w:cs="Arial"/>
          <w:color w:val="000000"/>
        </w:rPr>
        <w:t>Asimismo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también</w:t>
      </w:r>
      <w:proofErr w:type="spellEnd"/>
      <w:r w:rsidRPr="00156F48">
        <w:rPr>
          <w:rFonts w:ascii="Garamond" w:hAnsi="Garamond" w:cs="Arial"/>
          <w:color w:val="000000"/>
        </w:rPr>
        <w:t xml:space="preserve"> se ha </w:t>
      </w:r>
      <w:proofErr w:type="spellStart"/>
      <w:r w:rsidRPr="00156F48">
        <w:rPr>
          <w:rFonts w:ascii="Garamond" w:hAnsi="Garamond" w:cs="Arial"/>
          <w:color w:val="000000"/>
        </w:rPr>
        <w:t>reconocido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debido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desempeñan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gramStart"/>
      <w:r w:rsidRPr="00156F48">
        <w:rPr>
          <w:rFonts w:ascii="Garamond" w:hAnsi="Garamond" w:cs="Arial"/>
          <w:color w:val="000000"/>
        </w:rPr>
        <w:t>los fiscales</w:t>
      </w:r>
      <w:proofErr w:type="gram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encuentran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protegidos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Martínez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Esquivia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Colombia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86 y </w:t>
      </w:r>
      <w:proofErr w:type="spellStart"/>
      <w:r w:rsidRPr="00156F48">
        <w:rPr>
          <w:rFonts w:ascii="Garamond" w:hAnsi="Garamond" w:cs="Arial"/>
          <w:color w:val="000000"/>
        </w:rPr>
        <w:t>ss</w:t>
      </w:r>
      <w:proofErr w:type="spellEnd"/>
      <w:r w:rsidRPr="00156F48">
        <w:rPr>
          <w:rFonts w:ascii="Garamond" w:hAnsi="Garamond" w:cs="Arial"/>
          <w:color w:val="000000"/>
        </w:rPr>
        <w:t xml:space="preserve">.). </w:t>
      </w:r>
    </w:p>
    <w:p w14:paraId="654C2EBC" w14:textId="7ECD234E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El </w:t>
      </w:r>
      <w:proofErr w:type="spellStart"/>
      <w:r w:rsidRPr="00156F48">
        <w:rPr>
          <w:rFonts w:ascii="Garamond" w:hAnsi="Garamond" w:cs="Arial"/>
          <w:color w:val="000000"/>
        </w:rPr>
        <w:t>objetivo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es</w:t>
      </w:r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proofErr w:type="spellStart"/>
      <w:r w:rsidRPr="00156F48">
        <w:rPr>
          <w:rFonts w:ascii="Garamond" w:hAnsi="Garamond" w:cs="Arial"/>
          <w:color w:val="000000"/>
        </w:rPr>
        <w:t>evitar</w:t>
      </w:r>
      <w:proofErr w:type="spellEnd"/>
      <w:proofErr w:type="gramEnd"/>
      <w:r w:rsidRPr="00156F48">
        <w:rPr>
          <w:rFonts w:ascii="Garamond" w:hAnsi="Garamond" w:cs="Arial"/>
          <w:color w:val="000000"/>
        </w:rPr>
        <w:t xml:space="preserve"> que el </w:t>
      </w:r>
      <w:proofErr w:type="spellStart"/>
      <w:r w:rsidRPr="00156F48">
        <w:rPr>
          <w:rFonts w:ascii="Garamond" w:hAnsi="Garamond" w:cs="Arial"/>
          <w:color w:val="000000"/>
        </w:rPr>
        <w:t>sistema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general</w:t>
      </w:r>
      <w:proofErr w:type="spellEnd"/>
      <w:r w:rsidRPr="00156F48">
        <w:rPr>
          <w:rFonts w:ascii="Garamond" w:hAnsi="Garamond" w:cs="Arial"/>
          <w:color w:val="000000"/>
        </w:rPr>
        <w:t xml:space="preserve">, y sus </w:t>
      </w:r>
      <w:proofErr w:type="spellStart"/>
      <w:r w:rsidRPr="00156F48">
        <w:rPr>
          <w:rFonts w:ascii="Garamond" w:hAnsi="Garamond" w:cs="Arial"/>
          <w:color w:val="000000"/>
        </w:rPr>
        <w:t>integrantes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particular</w:t>
      </w:r>
      <w:proofErr w:type="spellEnd"/>
      <w:r w:rsidRPr="00156F48">
        <w:rPr>
          <w:rFonts w:ascii="Garamond" w:hAnsi="Garamond" w:cs="Arial"/>
          <w:color w:val="000000"/>
        </w:rPr>
        <w:t xml:space="preserve">, se </w:t>
      </w:r>
      <w:proofErr w:type="spellStart"/>
      <w:r w:rsidRPr="00156F48">
        <w:rPr>
          <w:rFonts w:ascii="Garamond" w:hAnsi="Garamond" w:cs="Arial"/>
          <w:color w:val="000000"/>
        </w:rPr>
        <w:t>vean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sometidos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posibles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restricciones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indebidas</w:t>
      </w:r>
      <w:proofErr w:type="spellEnd"/>
      <w:r w:rsidRPr="00156F48">
        <w:rPr>
          <w:rFonts w:ascii="Garamond" w:hAnsi="Garamond" w:cs="Arial"/>
          <w:color w:val="000000"/>
        </w:rPr>
        <w:t xml:space="preserve"> en el </w:t>
      </w:r>
      <w:proofErr w:type="spellStart"/>
      <w:r w:rsidRPr="00156F48">
        <w:rPr>
          <w:rFonts w:ascii="Garamond" w:hAnsi="Garamond" w:cs="Arial"/>
          <w:color w:val="000000"/>
        </w:rPr>
        <w:t>ejercicio</w:t>
      </w:r>
      <w:proofErr w:type="spellEnd"/>
      <w:r w:rsidRPr="00156F48">
        <w:rPr>
          <w:rFonts w:ascii="Garamond" w:hAnsi="Garamond" w:cs="Arial"/>
          <w:color w:val="000000"/>
        </w:rPr>
        <w:t xml:space="preserve"> de su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parte de </w:t>
      </w:r>
      <w:proofErr w:type="spellStart"/>
      <w:r w:rsidRPr="00156F48">
        <w:rPr>
          <w:rFonts w:ascii="Garamond" w:hAnsi="Garamond" w:cs="Arial"/>
          <w:color w:val="000000"/>
        </w:rPr>
        <w:t>órganos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ajenos</w:t>
      </w:r>
      <w:proofErr w:type="spellEnd"/>
      <w:r w:rsidRPr="00156F48">
        <w:rPr>
          <w:rFonts w:ascii="Garamond" w:hAnsi="Garamond" w:cs="Arial"/>
          <w:color w:val="000000"/>
        </w:rPr>
        <w:t xml:space="preserve"> al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, o </w:t>
      </w:r>
      <w:proofErr w:type="spellStart"/>
      <w:r w:rsidRPr="00156F48">
        <w:rPr>
          <w:rFonts w:ascii="Garamond" w:hAnsi="Garamond" w:cs="Arial"/>
          <w:color w:val="000000"/>
        </w:rPr>
        <w:t>incluso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parte de </w:t>
      </w:r>
      <w:proofErr w:type="spellStart"/>
      <w:r w:rsidRPr="00156F48">
        <w:rPr>
          <w:rFonts w:ascii="Garamond" w:hAnsi="Garamond" w:cs="Arial"/>
          <w:color w:val="000000"/>
        </w:rPr>
        <w:t>quienes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ejercen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funciones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revisión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apelación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Aguinaga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Aillón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,</w:t>
      </w:r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62). </w:t>
      </w:r>
      <w:proofErr w:type="spellStart"/>
      <w:r w:rsidRPr="00156F48">
        <w:rPr>
          <w:rFonts w:ascii="Garamond" w:hAnsi="Garamond" w:cs="Arial"/>
          <w:color w:val="000000"/>
        </w:rPr>
        <w:t>Bajo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tesitura</w:t>
      </w:r>
      <w:proofErr w:type="spellEnd"/>
      <w:r w:rsidRPr="00156F48">
        <w:rPr>
          <w:rFonts w:ascii="Garamond" w:hAnsi="Garamond" w:cs="Arial"/>
          <w:color w:val="000000"/>
        </w:rPr>
        <w:t xml:space="preserve">,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deben </w:t>
      </w:r>
      <w:proofErr w:type="spellStart"/>
      <w:r w:rsidRPr="00156F48">
        <w:rPr>
          <w:rFonts w:ascii="Garamond" w:hAnsi="Garamond" w:cs="Arial"/>
          <w:color w:val="000000"/>
        </w:rPr>
        <w:t>proteger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quienes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ejercen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función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jurisdiccional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estableciendo</w:t>
      </w:r>
      <w:proofErr w:type="spellEnd"/>
      <w:r w:rsidRPr="00156F48">
        <w:rPr>
          <w:rFonts w:ascii="Garamond" w:hAnsi="Garamond" w:cs="Arial"/>
          <w:color w:val="000000"/>
        </w:rPr>
        <w:t xml:space="preserve"> un </w:t>
      </w:r>
      <w:proofErr w:type="spellStart"/>
      <w:r w:rsidRPr="00156F48">
        <w:rPr>
          <w:rFonts w:ascii="Garamond" w:hAnsi="Garamond" w:cs="Arial"/>
          <w:color w:val="000000"/>
        </w:rPr>
        <w:t>adecuado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proceso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nombramiento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garantizando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estabilidad</w:t>
      </w:r>
      <w:proofErr w:type="spellEnd"/>
      <w:r w:rsidRPr="00156F48">
        <w:rPr>
          <w:rFonts w:ascii="Garamond" w:hAnsi="Garamond" w:cs="Arial"/>
          <w:color w:val="000000"/>
        </w:rPr>
        <w:t xml:space="preserve"> e </w:t>
      </w:r>
      <w:proofErr w:type="spellStart"/>
      <w:r w:rsidRPr="00156F48">
        <w:rPr>
          <w:rFonts w:ascii="Garamond" w:hAnsi="Garamond" w:cs="Arial"/>
          <w:color w:val="000000"/>
        </w:rPr>
        <w:t>inamovilidad</w:t>
      </w:r>
      <w:proofErr w:type="spellEnd"/>
      <w:r w:rsidRPr="00156F48">
        <w:rPr>
          <w:rFonts w:ascii="Garamond" w:hAnsi="Garamond" w:cs="Arial"/>
          <w:color w:val="000000"/>
        </w:rPr>
        <w:t xml:space="preserve"> en el cargo, y </w:t>
      </w:r>
      <w:proofErr w:type="spellStart"/>
      <w:r w:rsidRPr="00156F48">
        <w:rPr>
          <w:rFonts w:ascii="Garamond" w:hAnsi="Garamond" w:cs="Arial"/>
          <w:color w:val="000000"/>
        </w:rPr>
        <w:t>protegiendo</w:t>
      </w:r>
      <w:proofErr w:type="spellEnd"/>
      <w:r w:rsidRPr="00156F48">
        <w:rPr>
          <w:rFonts w:ascii="Garamond" w:hAnsi="Garamond" w:cs="Arial"/>
          <w:color w:val="000000"/>
        </w:rPr>
        <w:t xml:space="preserve"> su </w:t>
      </w:r>
      <w:proofErr w:type="spellStart"/>
      <w:r w:rsidRPr="00156F48">
        <w:rPr>
          <w:rFonts w:ascii="Garamond" w:hAnsi="Garamond" w:cs="Arial"/>
          <w:color w:val="000000"/>
        </w:rPr>
        <w:t>labor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presiones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externas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</w:p>
    <w:p w14:paraId="292A764F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Para </w:t>
      </w:r>
      <w:proofErr w:type="gramStart"/>
      <w:r w:rsidRPr="00156F48">
        <w:rPr>
          <w:rFonts w:ascii="Garamond" w:hAnsi="Garamond" w:cs="Arial"/>
          <w:color w:val="000000"/>
        </w:rPr>
        <w:t>que el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proceso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nombramiento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sea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acorde</w:t>
      </w:r>
      <w:proofErr w:type="spellEnd"/>
      <w:r w:rsidRPr="00156F48">
        <w:rPr>
          <w:rFonts w:ascii="Garamond" w:hAnsi="Garamond" w:cs="Arial"/>
          <w:color w:val="000000"/>
        </w:rPr>
        <w:t xml:space="preserve"> con los </w:t>
      </w:r>
      <w:proofErr w:type="spellStart"/>
      <w:r w:rsidRPr="00156F48">
        <w:rPr>
          <w:rFonts w:ascii="Garamond" w:hAnsi="Garamond" w:cs="Arial"/>
          <w:color w:val="000000"/>
        </w:rPr>
        <w:t>estándares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interamericanos</w:t>
      </w:r>
      <w:proofErr w:type="spellEnd"/>
      <w:r w:rsidRPr="00156F48">
        <w:rPr>
          <w:rFonts w:ascii="Garamond" w:hAnsi="Garamond" w:cs="Arial"/>
          <w:color w:val="000000"/>
        </w:rPr>
        <w:t xml:space="preserve">,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deben </w:t>
      </w:r>
      <w:proofErr w:type="spellStart"/>
      <w:r w:rsidRPr="00156F48">
        <w:rPr>
          <w:rFonts w:ascii="Garamond" w:hAnsi="Garamond" w:cs="Arial"/>
          <w:color w:val="000000"/>
        </w:rPr>
        <w:t>evaluar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mediante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mecanismos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objetivos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selección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permanencia</w:t>
      </w:r>
      <w:proofErr w:type="spellEnd"/>
      <w:r w:rsidRPr="00156F48">
        <w:rPr>
          <w:rFonts w:ascii="Garamond" w:hAnsi="Garamond" w:cs="Arial"/>
          <w:color w:val="000000"/>
        </w:rPr>
        <w:t xml:space="preserve">, el </w:t>
      </w:r>
      <w:proofErr w:type="spellStart"/>
      <w:r w:rsidRPr="00156F48">
        <w:rPr>
          <w:rFonts w:ascii="Garamond" w:hAnsi="Garamond" w:cs="Arial"/>
          <w:color w:val="000000"/>
        </w:rPr>
        <w:t>mérito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personal</w:t>
      </w:r>
      <w:proofErr w:type="spellEnd"/>
      <w:r w:rsidRPr="00156F48">
        <w:rPr>
          <w:rFonts w:ascii="Garamond" w:hAnsi="Garamond" w:cs="Arial"/>
          <w:color w:val="000000"/>
        </w:rPr>
        <w:t xml:space="preserve"> y la </w:t>
      </w:r>
      <w:proofErr w:type="spellStart"/>
      <w:r w:rsidRPr="00156F48">
        <w:rPr>
          <w:rFonts w:ascii="Garamond" w:hAnsi="Garamond" w:cs="Arial"/>
          <w:color w:val="000000"/>
        </w:rPr>
        <w:t>capacidad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profesional</w:t>
      </w:r>
      <w:proofErr w:type="spellEnd"/>
      <w:r w:rsidRPr="00156F48">
        <w:rPr>
          <w:rFonts w:ascii="Garamond" w:hAnsi="Garamond" w:cs="Arial"/>
          <w:color w:val="000000"/>
        </w:rPr>
        <w:t xml:space="preserve"> de los y las aspirantes, en </w:t>
      </w:r>
      <w:proofErr w:type="spellStart"/>
      <w:r w:rsidRPr="00156F48">
        <w:rPr>
          <w:rFonts w:ascii="Garamond" w:hAnsi="Garamond" w:cs="Arial"/>
          <w:color w:val="000000"/>
        </w:rPr>
        <w:t>igualdad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condiciones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considerando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características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propias</w:t>
      </w:r>
      <w:proofErr w:type="spellEnd"/>
      <w:r w:rsidRPr="00156F48">
        <w:rPr>
          <w:rFonts w:ascii="Garamond" w:hAnsi="Garamond" w:cs="Arial"/>
          <w:color w:val="000000"/>
        </w:rPr>
        <w:t xml:space="preserve"> de las </w:t>
      </w:r>
      <w:proofErr w:type="spellStart"/>
      <w:r w:rsidRPr="00156F48">
        <w:rPr>
          <w:rFonts w:ascii="Garamond" w:hAnsi="Garamond" w:cs="Arial"/>
          <w:color w:val="000000"/>
        </w:rPr>
        <w:t>funciones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desempeñar</w:t>
      </w:r>
      <w:proofErr w:type="spell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Reverón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Trujillo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72).</w:t>
      </w:r>
    </w:p>
    <w:p w14:paraId="5254F9D0" w14:textId="39BCA680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proofErr w:type="spellStart"/>
      <w:r w:rsidRPr="00156F48">
        <w:rPr>
          <w:rFonts w:ascii="Garamond" w:hAnsi="Garamond" w:cs="Arial"/>
          <w:color w:val="000000"/>
        </w:rPr>
        <w:t>Ahora</w:t>
      </w:r>
      <w:proofErr w:type="spellEnd"/>
      <w:r w:rsidRPr="00156F48">
        <w:rPr>
          <w:rFonts w:ascii="Garamond" w:hAnsi="Garamond" w:cs="Arial"/>
          <w:color w:val="000000"/>
        </w:rPr>
        <w:t xml:space="preserve"> bien, en </w:t>
      </w:r>
      <w:proofErr w:type="spellStart"/>
      <w:r w:rsidRPr="00156F48">
        <w:rPr>
          <w:rFonts w:ascii="Garamond" w:hAnsi="Garamond" w:cs="Arial"/>
          <w:color w:val="000000"/>
        </w:rPr>
        <w:t>cuanto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estabilidad</w:t>
      </w:r>
      <w:proofErr w:type="spellEnd"/>
      <w:r w:rsidRPr="00156F48">
        <w:rPr>
          <w:rFonts w:ascii="Garamond" w:hAnsi="Garamond" w:cs="Arial"/>
          <w:color w:val="000000"/>
        </w:rPr>
        <w:t xml:space="preserve"> e </w:t>
      </w:r>
      <w:proofErr w:type="spellStart"/>
      <w:r w:rsidRPr="00156F48">
        <w:rPr>
          <w:rFonts w:ascii="Garamond" w:hAnsi="Garamond" w:cs="Arial"/>
          <w:color w:val="000000"/>
        </w:rPr>
        <w:t>inamovilidad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 ha </w:t>
      </w:r>
      <w:proofErr w:type="spellStart"/>
      <w:r w:rsidRPr="00156F48">
        <w:rPr>
          <w:rFonts w:ascii="Garamond" w:hAnsi="Garamond" w:cs="Arial"/>
          <w:color w:val="000000"/>
        </w:rPr>
        <w:t>establecido</w:t>
      </w:r>
      <w:proofErr w:type="spellEnd"/>
      <w:r w:rsidRPr="00156F48">
        <w:rPr>
          <w:rFonts w:ascii="Garamond" w:hAnsi="Garamond" w:cs="Arial"/>
          <w:color w:val="000000"/>
        </w:rPr>
        <w:t xml:space="preserve"> que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únicamente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pueden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separar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cargo al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cuando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medie</w:t>
      </w:r>
      <w:proofErr w:type="spellEnd"/>
      <w:r w:rsidRPr="00156F48">
        <w:rPr>
          <w:rFonts w:ascii="Garamond" w:hAnsi="Garamond" w:cs="Arial"/>
          <w:color w:val="000000"/>
        </w:rPr>
        <w:t xml:space="preserve"> un </w:t>
      </w:r>
      <w:proofErr w:type="spellStart"/>
      <w:r w:rsidRPr="00156F48">
        <w:rPr>
          <w:rFonts w:ascii="Garamond" w:hAnsi="Garamond" w:cs="Arial"/>
          <w:color w:val="000000"/>
        </w:rPr>
        <w:t>proceso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conforme </w:t>
      </w:r>
      <w:proofErr w:type="spellStart"/>
      <w:r w:rsidRPr="00156F48">
        <w:rPr>
          <w:rFonts w:ascii="Garamond" w:hAnsi="Garamond" w:cs="Arial"/>
          <w:color w:val="000000"/>
        </w:rPr>
        <w:t>a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garantías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judiciales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cuando</w:t>
      </w:r>
      <w:proofErr w:type="spellEnd"/>
      <w:r w:rsidRPr="00156F48">
        <w:rPr>
          <w:rFonts w:ascii="Garamond" w:hAnsi="Garamond" w:cs="Arial"/>
          <w:color w:val="000000"/>
        </w:rPr>
        <w:t xml:space="preserve"> se haya </w:t>
      </w:r>
      <w:proofErr w:type="spellStart"/>
      <w:r w:rsidRPr="00156F48">
        <w:rPr>
          <w:rFonts w:ascii="Garamond" w:hAnsi="Garamond" w:cs="Arial"/>
          <w:color w:val="000000"/>
        </w:rPr>
        <w:t>cumplido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periodo</w:t>
      </w:r>
      <w:proofErr w:type="spellEnd"/>
      <w:r w:rsidRPr="00156F48">
        <w:rPr>
          <w:rFonts w:ascii="Garamond" w:hAnsi="Garamond" w:cs="Arial"/>
          <w:color w:val="000000"/>
        </w:rPr>
        <w:t xml:space="preserve"> de su </w:t>
      </w:r>
      <w:proofErr w:type="spellStart"/>
      <w:r w:rsidRPr="00156F48">
        <w:rPr>
          <w:rFonts w:ascii="Garamond" w:hAnsi="Garamond" w:cs="Arial"/>
          <w:color w:val="000000"/>
        </w:rPr>
        <w:t>mandato</w:t>
      </w:r>
      <w:proofErr w:type="spellEnd"/>
      <w:r w:rsidRPr="00156F48">
        <w:rPr>
          <w:rFonts w:ascii="Garamond" w:hAnsi="Garamond" w:cs="Arial"/>
          <w:color w:val="000000"/>
        </w:rPr>
        <w:t xml:space="preserve">. La </w:t>
      </w:r>
      <w:proofErr w:type="spellStart"/>
      <w:r w:rsidRPr="00156F48">
        <w:rPr>
          <w:rFonts w:ascii="Garamond" w:hAnsi="Garamond" w:cs="Arial"/>
          <w:color w:val="000000"/>
        </w:rPr>
        <w:t>destitución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 xml:space="preserve"> es </w:t>
      </w:r>
      <w:proofErr w:type="spellStart"/>
      <w:r w:rsidRPr="00156F48">
        <w:rPr>
          <w:rFonts w:ascii="Garamond" w:hAnsi="Garamond" w:cs="Arial"/>
          <w:color w:val="000000"/>
        </w:rPr>
        <w:t>procedente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sólo</w:t>
      </w:r>
      <w:proofErr w:type="spellEnd"/>
      <w:r w:rsidRPr="00156F48">
        <w:rPr>
          <w:rFonts w:ascii="Garamond" w:hAnsi="Garamond" w:cs="Arial"/>
          <w:color w:val="000000"/>
        </w:rPr>
        <w:t xml:space="preserve"> si </w:t>
      </w:r>
      <w:proofErr w:type="spellStart"/>
      <w:r w:rsidRPr="00156F48">
        <w:rPr>
          <w:rFonts w:ascii="Garamond" w:hAnsi="Garamond" w:cs="Arial"/>
          <w:color w:val="000000"/>
        </w:rPr>
        <w:t>cometieron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faltas</w:t>
      </w:r>
      <w:proofErr w:type="spellEnd"/>
      <w:r w:rsidRPr="00156F48">
        <w:rPr>
          <w:rFonts w:ascii="Garamond" w:hAnsi="Garamond" w:cs="Arial"/>
          <w:color w:val="000000"/>
        </w:rPr>
        <w:t xml:space="preserve"> graves de disciplina o bien, se </w:t>
      </w:r>
      <w:proofErr w:type="spellStart"/>
      <w:r w:rsidRPr="00156F48">
        <w:rPr>
          <w:rFonts w:ascii="Garamond" w:hAnsi="Garamond" w:cs="Arial"/>
          <w:color w:val="000000"/>
        </w:rPr>
        <w:t>demostró</w:t>
      </w:r>
      <w:proofErr w:type="spellEnd"/>
      <w:r w:rsidRPr="00156F48">
        <w:rPr>
          <w:rFonts w:ascii="Garamond" w:hAnsi="Garamond" w:cs="Arial"/>
          <w:color w:val="000000"/>
        </w:rPr>
        <w:t xml:space="preserve"> su </w:t>
      </w:r>
      <w:proofErr w:type="spellStart"/>
      <w:r w:rsidRPr="00156F48">
        <w:rPr>
          <w:rFonts w:ascii="Garamond" w:hAnsi="Garamond" w:cs="Arial"/>
          <w:color w:val="000000"/>
        </w:rPr>
        <w:t>incompetencia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spellStart"/>
      <w:r w:rsidRPr="00156F48">
        <w:rPr>
          <w:rFonts w:ascii="Garamond" w:hAnsi="Garamond" w:cs="Arial"/>
          <w:color w:val="000000"/>
        </w:rPr>
        <w:t>Asimismo</w:t>
      </w:r>
      <w:proofErr w:type="spellEnd"/>
      <w:r w:rsidRPr="00156F48">
        <w:rPr>
          <w:rFonts w:ascii="Garamond" w:hAnsi="Garamond" w:cs="Arial"/>
          <w:color w:val="000000"/>
        </w:rPr>
        <w:t xml:space="preserve">, los </w:t>
      </w:r>
      <w:proofErr w:type="spellStart"/>
      <w:r w:rsidRPr="00156F48">
        <w:rPr>
          <w:rFonts w:ascii="Garamond" w:hAnsi="Garamond" w:cs="Arial"/>
          <w:color w:val="000000"/>
        </w:rPr>
        <w:t>procesos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seguidos</w:t>
      </w:r>
      <w:proofErr w:type="spellEnd"/>
      <w:r w:rsidRPr="00156F48">
        <w:rPr>
          <w:rFonts w:ascii="Garamond" w:hAnsi="Garamond" w:cs="Arial"/>
          <w:color w:val="000000"/>
        </w:rPr>
        <w:t xml:space="preserve"> en su contra deben</w:t>
      </w:r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proofErr w:type="spellStart"/>
      <w:r w:rsidRPr="00156F48">
        <w:rPr>
          <w:rFonts w:ascii="Garamond" w:hAnsi="Garamond" w:cs="Arial"/>
          <w:color w:val="000000"/>
        </w:rPr>
        <w:t>resolverse</w:t>
      </w:r>
      <w:proofErr w:type="spellEnd"/>
      <w:proofErr w:type="gram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acuerdo</w:t>
      </w:r>
      <w:proofErr w:type="spellEnd"/>
      <w:r w:rsidRPr="00156F48">
        <w:rPr>
          <w:rFonts w:ascii="Garamond" w:hAnsi="Garamond" w:cs="Arial"/>
          <w:color w:val="000000"/>
        </w:rPr>
        <w:t xml:space="preserve"> con las normas de </w:t>
      </w:r>
      <w:proofErr w:type="spellStart"/>
      <w:r w:rsidRPr="00156F48">
        <w:rPr>
          <w:rFonts w:ascii="Garamond" w:hAnsi="Garamond" w:cs="Arial"/>
          <w:color w:val="000000"/>
        </w:rPr>
        <w:t>comportamiento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establecidas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mediante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procedimientos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justos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objetivos</w:t>
      </w:r>
      <w:proofErr w:type="spellEnd"/>
      <w:r w:rsidRPr="00156F48">
        <w:rPr>
          <w:rFonts w:ascii="Garamond" w:hAnsi="Garamond" w:cs="Arial"/>
          <w:color w:val="000000"/>
        </w:rPr>
        <w:t xml:space="preserve"> e </w:t>
      </w:r>
      <w:proofErr w:type="spellStart"/>
      <w:r w:rsidRPr="00156F48">
        <w:rPr>
          <w:rFonts w:ascii="Garamond" w:hAnsi="Garamond" w:cs="Arial"/>
          <w:color w:val="000000"/>
        </w:rPr>
        <w:t>imparciales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según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constitución</w:t>
      </w:r>
      <w:proofErr w:type="spellEnd"/>
      <w:r w:rsidRPr="00156F48">
        <w:rPr>
          <w:rFonts w:ascii="Garamond" w:hAnsi="Garamond" w:cs="Arial"/>
          <w:color w:val="000000"/>
        </w:rPr>
        <w:t xml:space="preserve"> o la </w:t>
      </w:r>
      <w:proofErr w:type="spellStart"/>
      <w:r w:rsidRPr="00156F48">
        <w:rPr>
          <w:rFonts w:ascii="Garamond" w:hAnsi="Garamond" w:cs="Arial"/>
          <w:color w:val="000000"/>
        </w:rPr>
        <w:t>ley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Cordero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Bernal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72).</w:t>
      </w:r>
    </w:p>
    <w:p w14:paraId="2C391E03" w14:textId="2A4D2B6E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</w:t>
      </w:r>
      <w:proofErr w:type="spellStart"/>
      <w:r w:rsidRPr="00156F48">
        <w:rPr>
          <w:rFonts w:ascii="Garamond" w:hAnsi="Garamond" w:cs="Arial"/>
          <w:color w:val="000000"/>
        </w:rPr>
        <w:t>especial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cuanto</w:t>
      </w:r>
      <w:proofErr w:type="spellEnd"/>
      <w:r w:rsidRPr="00156F48">
        <w:rPr>
          <w:rFonts w:ascii="Garamond" w:hAnsi="Garamond" w:cs="Arial"/>
          <w:color w:val="000000"/>
        </w:rPr>
        <w:t xml:space="preserve"> al </w:t>
      </w:r>
      <w:proofErr w:type="spellStart"/>
      <w:r w:rsidRPr="00156F48">
        <w:rPr>
          <w:rFonts w:ascii="Garamond" w:hAnsi="Garamond" w:cs="Arial"/>
          <w:color w:val="000000"/>
        </w:rPr>
        <w:t>nombramiento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provisorios</w:t>
      </w:r>
      <w:proofErr w:type="spellEnd"/>
      <w:r w:rsidRPr="00156F48">
        <w:rPr>
          <w:rFonts w:ascii="Garamond" w:hAnsi="Garamond" w:cs="Arial"/>
          <w:color w:val="000000"/>
        </w:rPr>
        <w:t xml:space="preserve">, el Tribunal de San José ha </w:t>
      </w:r>
      <w:proofErr w:type="spellStart"/>
      <w:r w:rsidRPr="00156F48">
        <w:rPr>
          <w:rFonts w:ascii="Garamond" w:hAnsi="Garamond" w:cs="Arial"/>
          <w:color w:val="000000"/>
        </w:rPr>
        <w:t>señalado</w:t>
      </w:r>
      <w:proofErr w:type="spellEnd"/>
      <w:r w:rsidRPr="00156F48">
        <w:rPr>
          <w:rFonts w:ascii="Garamond" w:hAnsi="Garamond" w:cs="Arial"/>
          <w:color w:val="000000"/>
        </w:rPr>
        <w:t xml:space="preserve"> que la </w:t>
      </w:r>
      <w:proofErr w:type="spellStart"/>
      <w:r w:rsidRPr="00156F48">
        <w:rPr>
          <w:rFonts w:ascii="Garamond" w:hAnsi="Garamond" w:cs="Arial"/>
          <w:color w:val="000000"/>
        </w:rPr>
        <w:t>provisionalidad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debe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contemplarse</w:t>
      </w:r>
      <w:proofErr w:type="spellEnd"/>
      <w:r w:rsidRPr="00156F48">
        <w:rPr>
          <w:rFonts w:ascii="Garamond" w:hAnsi="Garamond" w:cs="Arial"/>
          <w:color w:val="000000"/>
        </w:rPr>
        <w:t xml:space="preserve"> de forma </w:t>
      </w:r>
      <w:proofErr w:type="spellStart"/>
      <w:r w:rsidRPr="00156F48">
        <w:rPr>
          <w:rFonts w:ascii="Garamond" w:hAnsi="Garamond" w:cs="Arial"/>
          <w:color w:val="000000"/>
        </w:rPr>
        <w:t>excepcional</w:t>
      </w:r>
      <w:proofErr w:type="spellEnd"/>
      <w:r w:rsidRPr="00156F48">
        <w:rPr>
          <w:rFonts w:ascii="Garamond" w:hAnsi="Garamond" w:cs="Arial"/>
          <w:color w:val="000000"/>
        </w:rPr>
        <w:t xml:space="preserve"> y que </w:t>
      </w:r>
      <w:proofErr w:type="spellStart"/>
      <w:r w:rsidRPr="00156F48">
        <w:rPr>
          <w:rFonts w:ascii="Garamond" w:hAnsi="Garamond" w:cs="Arial"/>
          <w:color w:val="000000"/>
        </w:rPr>
        <w:t>ésta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  <w:color w:val="000000"/>
        </w:rPr>
        <w:t xml:space="preserve">no </w:t>
      </w:r>
      <w:proofErr w:type="spellStart"/>
      <w:r w:rsidRPr="00156F48">
        <w:rPr>
          <w:rFonts w:ascii="Garamond" w:hAnsi="Garamond" w:cs="Arial"/>
          <w:color w:val="000000"/>
        </w:rPr>
        <w:t>equivale</w:t>
      </w:r>
      <w:proofErr w:type="spellEnd"/>
      <w:r w:rsidRPr="00156F48">
        <w:rPr>
          <w:rFonts w:ascii="Garamond" w:hAnsi="Garamond" w:cs="Arial"/>
          <w:color w:val="000000"/>
        </w:rPr>
        <w:t xml:space="preserve"> a libre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remoción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proofErr w:type="gram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Apitz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Barbera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r w:rsidRPr="00156F48">
        <w:rPr>
          <w:rFonts w:ascii="Garamond" w:hAnsi="Garamond" w:cs="Arial"/>
          <w:color w:val="000000"/>
        </w:rPr>
        <w:t>(“</w:t>
      </w:r>
      <w:r w:rsidRPr="00156F48">
        <w:rPr>
          <w:rFonts w:ascii="Garamond" w:hAnsi="Garamond" w:cs="Arial"/>
          <w:i/>
          <w:iCs/>
          <w:color w:val="000000"/>
        </w:rPr>
        <w:t xml:space="preserve">Corte Primera de lo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Contencioso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Administrativo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”)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43). En </w:t>
      </w:r>
      <w:proofErr w:type="spellStart"/>
      <w:r w:rsidRPr="00156F48">
        <w:rPr>
          <w:rFonts w:ascii="Garamond" w:hAnsi="Garamond" w:cs="Arial"/>
          <w:color w:val="000000"/>
        </w:rPr>
        <w:t>consecuencia</w:t>
      </w:r>
      <w:proofErr w:type="spellEnd"/>
      <w:r w:rsidRPr="00156F48">
        <w:rPr>
          <w:rFonts w:ascii="Garamond" w:hAnsi="Garamond" w:cs="Arial"/>
          <w:color w:val="000000"/>
        </w:rPr>
        <w:t xml:space="preserve">, es </w:t>
      </w:r>
      <w:proofErr w:type="spellStart"/>
      <w:r w:rsidRPr="00156F48">
        <w:rPr>
          <w:rFonts w:ascii="Garamond" w:hAnsi="Garamond" w:cs="Arial"/>
          <w:color w:val="000000"/>
        </w:rPr>
        <w:t>obligación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garantizar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provisorios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teniendo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cuenta</w:t>
      </w:r>
      <w:proofErr w:type="spellEnd"/>
      <w:r w:rsidRPr="00156F48">
        <w:rPr>
          <w:rFonts w:ascii="Garamond" w:hAnsi="Garamond" w:cs="Arial"/>
          <w:color w:val="000000"/>
        </w:rPr>
        <w:t xml:space="preserve"> que este </w:t>
      </w:r>
      <w:proofErr w:type="spellStart"/>
      <w:r w:rsidRPr="00156F48">
        <w:rPr>
          <w:rFonts w:ascii="Garamond" w:hAnsi="Garamond" w:cs="Arial"/>
          <w:color w:val="000000"/>
        </w:rPr>
        <w:t>carácter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necesariamente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debe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sujeto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proofErr w:type="spellStart"/>
      <w:r w:rsidRPr="00156F48">
        <w:rPr>
          <w:rFonts w:ascii="Garamond" w:hAnsi="Garamond" w:cs="Arial"/>
          <w:color w:val="000000"/>
        </w:rPr>
        <w:t>condición</w:t>
      </w:r>
      <w:proofErr w:type="spellEnd"/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resolutoria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tal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cumplimiento</w:t>
      </w:r>
      <w:proofErr w:type="spellEnd"/>
      <w:r w:rsidRPr="00156F48">
        <w:rPr>
          <w:rFonts w:ascii="Garamond" w:hAnsi="Garamond" w:cs="Arial"/>
          <w:color w:val="000000"/>
        </w:rPr>
        <w:t xml:space="preserve"> de un </w:t>
      </w:r>
      <w:proofErr w:type="spellStart"/>
      <w:r w:rsidRPr="00156F48">
        <w:rPr>
          <w:rFonts w:ascii="Garamond" w:hAnsi="Garamond" w:cs="Arial"/>
          <w:color w:val="000000"/>
        </w:rPr>
        <w:t>plazo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predeterminado</w:t>
      </w:r>
      <w:proofErr w:type="spellEnd"/>
      <w:r w:rsidRPr="00156F48">
        <w:rPr>
          <w:rFonts w:ascii="Garamond" w:hAnsi="Garamond" w:cs="Arial"/>
          <w:color w:val="000000"/>
        </w:rPr>
        <w:t xml:space="preserve"> o la </w:t>
      </w:r>
      <w:proofErr w:type="spellStart"/>
      <w:r w:rsidRPr="00156F48">
        <w:rPr>
          <w:rFonts w:ascii="Garamond" w:hAnsi="Garamond" w:cs="Arial"/>
          <w:color w:val="000000"/>
        </w:rPr>
        <w:t>celebración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conclusión</w:t>
      </w:r>
      <w:proofErr w:type="spellEnd"/>
      <w:r w:rsidRPr="00156F48">
        <w:rPr>
          <w:rFonts w:ascii="Garamond" w:hAnsi="Garamond" w:cs="Arial"/>
          <w:color w:val="000000"/>
        </w:rPr>
        <w:t xml:space="preserve"> de un </w:t>
      </w:r>
      <w:proofErr w:type="spellStart"/>
      <w:r w:rsidRPr="00156F48">
        <w:rPr>
          <w:rFonts w:ascii="Garamond" w:hAnsi="Garamond" w:cs="Arial"/>
          <w:color w:val="000000"/>
        </w:rPr>
        <w:t>concurso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público</w:t>
      </w:r>
      <w:proofErr w:type="spellEnd"/>
      <w:r w:rsidRPr="00156F48">
        <w:rPr>
          <w:rFonts w:ascii="Garamond" w:hAnsi="Garamond" w:cs="Arial"/>
          <w:color w:val="000000"/>
        </w:rPr>
        <w:t xml:space="preserve"> para </w:t>
      </w:r>
      <w:proofErr w:type="spellStart"/>
      <w:r w:rsidRPr="00156F48">
        <w:rPr>
          <w:rFonts w:ascii="Garamond" w:hAnsi="Garamond" w:cs="Arial"/>
          <w:color w:val="000000"/>
        </w:rPr>
        <w:t>proveer</w:t>
      </w:r>
      <w:proofErr w:type="spellEnd"/>
      <w:r w:rsidRPr="00156F48">
        <w:rPr>
          <w:rFonts w:ascii="Garamond" w:hAnsi="Garamond" w:cs="Arial"/>
          <w:color w:val="000000"/>
        </w:rPr>
        <w:t xml:space="preserve"> los </w:t>
      </w:r>
      <w:proofErr w:type="spellStart"/>
      <w:r w:rsidRPr="00156F48">
        <w:rPr>
          <w:rFonts w:ascii="Garamond" w:hAnsi="Garamond" w:cs="Arial"/>
          <w:color w:val="000000"/>
        </w:rPr>
        <w:t>reemplazos</w:t>
      </w:r>
      <w:proofErr w:type="spellEnd"/>
      <w:r w:rsidRPr="00156F48">
        <w:rPr>
          <w:rFonts w:ascii="Garamond" w:hAnsi="Garamond" w:cs="Arial"/>
          <w:color w:val="000000"/>
        </w:rPr>
        <w:t xml:space="preserve"> con </w:t>
      </w:r>
      <w:proofErr w:type="spellStart"/>
      <w:r w:rsidRPr="00156F48">
        <w:rPr>
          <w:rFonts w:ascii="Garamond" w:hAnsi="Garamond" w:cs="Arial"/>
          <w:color w:val="000000"/>
        </w:rPr>
        <w:t>carácter</w:t>
      </w:r>
      <w:proofErr w:type="spellEnd"/>
      <w:r w:rsidRPr="00156F48">
        <w:rPr>
          <w:rFonts w:ascii="Garamond" w:hAnsi="Garamond" w:cs="Arial"/>
          <w:color w:val="000000"/>
        </w:rPr>
        <w:t xml:space="preserve"> permanente</w:t>
      </w:r>
      <w:r w:rsidR="00795FC4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Álvarez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Ramos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148). </w:t>
      </w:r>
    </w:p>
    <w:p w14:paraId="2B4C28AA" w14:textId="121AE16B" w:rsidR="00394468" w:rsidRPr="00156F48" w:rsidRDefault="00394468" w:rsidP="00156F48">
      <w:pPr>
        <w:ind w:firstLine="567"/>
        <w:jc w:val="both"/>
        <w:rPr>
          <w:rFonts w:ascii="Garamond" w:hAnsi="Garamond" w:cs="Arial"/>
        </w:rPr>
      </w:pPr>
      <w:r w:rsidRPr="00156F48">
        <w:rPr>
          <w:rFonts w:ascii="Garamond" w:hAnsi="Garamond" w:cs="Arial"/>
        </w:rPr>
        <w:lastRenderedPageBreak/>
        <w:t xml:space="preserve">La </w:t>
      </w:r>
      <w:proofErr w:type="spellStart"/>
      <w:r w:rsidRPr="00156F48">
        <w:rPr>
          <w:rFonts w:ascii="Garamond" w:hAnsi="Garamond" w:cs="Arial"/>
        </w:rPr>
        <w:t>CorteIDH</w:t>
      </w:r>
      <w:proofErr w:type="spellEnd"/>
      <w:r w:rsidRPr="00156F48">
        <w:rPr>
          <w:rFonts w:ascii="Garamond" w:hAnsi="Garamond" w:cs="Arial"/>
        </w:rPr>
        <w:t xml:space="preserve"> no ha </w:t>
      </w:r>
      <w:proofErr w:type="spellStart"/>
      <w:r w:rsidRPr="00156F48">
        <w:rPr>
          <w:rFonts w:ascii="Garamond" w:hAnsi="Garamond" w:cs="Arial"/>
        </w:rPr>
        <w:t>establecido</w:t>
      </w:r>
      <w:proofErr w:type="spellEnd"/>
      <w:r w:rsidRPr="00156F48">
        <w:rPr>
          <w:rFonts w:ascii="Garamond" w:hAnsi="Garamond" w:cs="Arial"/>
        </w:rPr>
        <w:t xml:space="preserve"> un </w:t>
      </w:r>
      <w:proofErr w:type="spellStart"/>
      <w:r w:rsidRPr="00156F48">
        <w:rPr>
          <w:rFonts w:ascii="Garamond" w:hAnsi="Garamond" w:cs="Arial"/>
        </w:rPr>
        <w:t>sistema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procesal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particular</w:t>
      </w:r>
      <w:proofErr w:type="spellEnd"/>
      <w:r w:rsidRPr="00156F48">
        <w:rPr>
          <w:rFonts w:ascii="Garamond" w:hAnsi="Garamond" w:cs="Arial"/>
        </w:rPr>
        <w:t xml:space="preserve"> que los </w:t>
      </w:r>
      <w:proofErr w:type="spellStart"/>
      <w:r w:rsidRPr="00156F48">
        <w:rPr>
          <w:rFonts w:ascii="Garamond" w:hAnsi="Garamond" w:cs="Arial"/>
        </w:rPr>
        <w:t>Estados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deban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seguir</w:t>
      </w:r>
      <w:proofErr w:type="spellEnd"/>
      <w:r w:rsidRPr="00156F48">
        <w:rPr>
          <w:rFonts w:ascii="Garamond" w:hAnsi="Garamond" w:cs="Arial"/>
        </w:rPr>
        <w:t xml:space="preserve"> para </w:t>
      </w:r>
      <w:proofErr w:type="spellStart"/>
      <w:r w:rsidRPr="00156F48">
        <w:rPr>
          <w:rFonts w:ascii="Garamond" w:hAnsi="Garamond" w:cs="Arial"/>
        </w:rPr>
        <w:t>destituir</w:t>
      </w:r>
      <w:proofErr w:type="spellEnd"/>
      <w:r w:rsidRPr="00156F48">
        <w:rPr>
          <w:rFonts w:ascii="Garamond" w:hAnsi="Garamond" w:cs="Arial"/>
        </w:rPr>
        <w:t xml:space="preserve"> o </w:t>
      </w:r>
      <w:proofErr w:type="spellStart"/>
      <w:r w:rsidRPr="00156F48">
        <w:rPr>
          <w:rFonts w:ascii="Garamond" w:hAnsi="Garamond" w:cs="Arial"/>
        </w:rPr>
        <w:t>remover</w:t>
      </w:r>
      <w:proofErr w:type="spellEnd"/>
      <w:r w:rsidRPr="00156F48">
        <w:rPr>
          <w:rFonts w:ascii="Garamond" w:hAnsi="Garamond" w:cs="Arial"/>
        </w:rPr>
        <w:t xml:space="preserve"> a los </w:t>
      </w:r>
      <w:proofErr w:type="spellStart"/>
      <w:r w:rsidRPr="00156F48">
        <w:rPr>
          <w:rFonts w:ascii="Garamond" w:hAnsi="Garamond" w:cs="Arial"/>
        </w:rPr>
        <w:t>juzgadores</w:t>
      </w:r>
      <w:proofErr w:type="spellEnd"/>
      <w:r w:rsidRPr="00156F48">
        <w:rPr>
          <w:rFonts w:ascii="Garamond" w:hAnsi="Garamond" w:cs="Arial"/>
        </w:rPr>
        <w:t xml:space="preserve">, sin embargo, la forma en que </w:t>
      </w:r>
      <w:proofErr w:type="spellStart"/>
      <w:r w:rsidRPr="00156F48">
        <w:rPr>
          <w:rFonts w:ascii="Garamond" w:hAnsi="Garamond" w:cs="Arial"/>
        </w:rPr>
        <w:t>decidan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hacerlo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debe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atender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estrictamente</w:t>
      </w:r>
      <w:proofErr w:type="spellEnd"/>
      <w:r w:rsidRPr="00156F48">
        <w:rPr>
          <w:rFonts w:ascii="Garamond" w:hAnsi="Garamond" w:cs="Arial"/>
        </w:rPr>
        <w:t xml:space="preserve"> a las </w:t>
      </w:r>
      <w:proofErr w:type="spellStart"/>
      <w:r w:rsidRPr="00156F48">
        <w:rPr>
          <w:rFonts w:ascii="Garamond" w:hAnsi="Garamond" w:cs="Arial"/>
        </w:rPr>
        <w:t>garantías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judiciales</w:t>
      </w:r>
      <w:proofErr w:type="spellEnd"/>
      <w:r w:rsidRPr="00156F48">
        <w:rPr>
          <w:rFonts w:ascii="Garamond" w:hAnsi="Garamond" w:cs="Arial"/>
        </w:rPr>
        <w:t xml:space="preserve"> en </w:t>
      </w:r>
      <w:proofErr w:type="spellStart"/>
      <w:r w:rsidRPr="00156F48">
        <w:rPr>
          <w:rFonts w:ascii="Garamond" w:hAnsi="Garamond" w:cs="Arial"/>
        </w:rPr>
        <w:t>virtud</w:t>
      </w:r>
      <w:proofErr w:type="spellEnd"/>
      <w:r w:rsidRPr="00156F48">
        <w:rPr>
          <w:rFonts w:ascii="Garamond" w:hAnsi="Garamond" w:cs="Arial"/>
        </w:rPr>
        <w:t xml:space="preserve"> de que </w:t>
      </w:r>
      <w:proofErr w:type="spellStart"/>
      <w:r w:rsidRPr="00156F48">
        <w:rPr>
          <w:rFonts w:ascii="Garamond" w:hAnsi="Garamond" w:cs="Arial"/>
        </w:rPr>
        <w:t>toda</w:t>
      </w:r>
      <w:proofErr w:type="spellEnd"/>
      <w:r w:rsidRPr="00156F48">
        <w:rPr>
          <w:rFonts w:ascii="Garamond" w:hAnsi="Garamond" w:cs="Arial"/>
        </w:rPr>
        <w:t xml:space="preserve"> persona </w:t>
      </w:r>
      <w:proofErr w:type="spellStart"/>
      <w:r w:rsidRPr="00156F48">
        <w:rPr>
          <w:rFonts w:ascii="Garamond" w:hAnsi="Garamond" w:cs="Arial"/>
        </w:rPr>
        <w:t>sujeta</w:t>
      </w:r>
      <w:proofErr w:type="spellEnd"/>
      <w:r w:rsidRPr="00156F48">
        <w:rPr>
          <w:rFonts w:ascii="Garamond" w:hAnsi="Garamond" w:cs="Arial"/>
        </w:rPr>
        <w:t xml:space="preserve"> a </w:t>
      </w:r>
      <w:proofErr w:type="spellStart"/>
      <w:r w:rsidRPr="00156F48">
        <w:rPr>
          <w:rFonts w:ascii="Garamond" w:hAnsi="Garamond" w:cs="Arial"/>
        </w:rPr>
        <w:t>juicio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cualquier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naturaleza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llevado</w:t>
      </w:r>
      <w:proofErr w:type="spellEnd"/>
      <w:r w:rsidRPr="00156F48">
        <w:rPr>
          <w:rFonts w:ascii="Garamond" w:hAnsi="Garamond" w:cs="Arial"/>
        </w:rPr>
        <w:t xml:space="preserve"> ante un </w:t>
      </w:r>
      <w:proofErr w:type="spellStart"/>
      <w:r w:rsidRPr="00156F48">
        <w:rPr>
          <w:rFonts w:ascii="Garamond" w:hAnsi="Garamond" w:cs="Arial"/>
        </w:rPr>
        <w:t>órgano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estatal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debe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gozar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dichas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garantías</w:t>
      </w:r>
      <w:proofErr w:type="spellEnd"/>
      <w:r w:rsidRPr="00156F48">
        <w:rPr>
          <w:rFonts w:ascii="Garamond" w:hAnsi="Garamond" w:cs="Arial"/>
        </w:rPr>
        <w:t xml:space="preserve"> tales </w:t>
      </w:r>
      <w:proofErr w:type="spellStart"/>
      <w:r w:rsidRPr="00156F48">
        <w:rPr>
          <w:rFonts w:ascii="Garamond" w:hAnsi="Garamond" w:cs="Arial"/>
        </w:rPr>
        <w:t>como</w:t>
      </w:r>
      <w:proofErr w:type="spellEnd"/>
      <w:r w:rsidRPr="00156F48">
        <w:rPr>
          <w:rFonts w:ascii="Garamond" w:hAnsi="Garamond" w:cs="Arial"/>
        </w:rPr>
        <w:t xml:space="preserve"> la </w:t>
      </w:r>
      <w:proofErr w:type="spellStart"/>
      <w:r w:rsidRPr="00156F48">
        <w:rPr>
          <w:rFonts w:ascii="Garamond" w:hAnsi="Garamond" w:cs="Arial"/>
        </w:rPr>
        <w:t>posibilidad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ser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oídos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ejercer</w:t>
      </w:r>
      <w:proofErr w:type="spellEnd"/>
      <w:r w:rsidRPr="00156F48">
        <w:rPr>
          <w:rFonts w:ascii="Garamond" w:hAnsi="Garamond" w:cs="Arial"/>
        </w:rPr>
        <w:t xml:space="preserve"> derecho de </w:t>
      </w:r>
      <w:proofErr w:type="spellStart"/>
      <w:r w:rsidRPr="00156F48">
        <w:rPr>
          <w:rFonts w:ascii="Garamond" w:hAnsi="Garamond" w:cs="Arial"/>
        </w:rPr>
        <w:t>defensa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atender</w:t>
      </w:r>
      <w:proofErr w:type="spellEnd"/>
      <w:r w:rsidRPr="00156F48">
        <w:rPr>
          <w:rFonts w:ascii="Garamond" w:hAnsi="Garamond" w:cs="Arial"/>
        </w:rPr>
        <w:t xml:space="preserve"> el </w:t>
      </w:r>
      <w:proofErr w:type="spellStart"/>
      <w:r w:rsidRPr="00156F48">
        <w:rPr>
          <w:rFonts w:ascii="Garamond" w:hAnsi="Garamond" w:cs="Arial"/>
        </w:rPr>
        <w:t>principio</w:t>
      </w:r>
      <w:proofErr w:type="spellEnd"/>
      <w:r w:rsidRPr="00156F48">
        <w:rPr>
          <w:rFonts w:ascii="Garamond" w:hAnsi="Garamond" w:cs="Arial"/>
        </w:rPr>
        <w:t xml:space="preserve"> </w:t>
      </w:r>
      <w:r w:rsidRPr="00156F48">
        <w:rPr>
          <w:rFonts w:ascii="Garamond" w:hAnsi="Garamond" w:cs="Arial"/>
          <w:i/>
          <w:iCs/>
        </w:rPr>
        <w:t xml:space="preserve">ne bis in idem, </w:t>
      </w:r>
      <w:r w:rsidRPr="00156F48">
        <w:rPr>
          <w:rFonts w:ascii="Garamond" w:hAnsi="Garamond" w:cs="Arial"/>
        </w:rPr>
        <w:t xml:space="preserve">entre </w:t>
      </w:r>
      <w:proofErr w:type="spellStart"/>
      <w:r w:rsidRPr="00156F48">
        <w:rPr>
          <w:rFonts w:ascii="Garamond" w:hAnsi="Garamond" w:cs="Arial"/>
        </w:rPr>
        <w:t>otros</w:t>
      </w:r>
      <w:proofErr w:type="spellEnd"/>
      <w:r w:rsidRPr="00156F48">
        <w:rPr>
          <w:rFonts w:ascii="Garamond" w:hAnsi="Garamond" w:cs="Arial"/>
        </w:rPr>
        <w:t xml:space="preserve"> (</w:t>
      </w:r>
      <w:proofErr w:type="spellStart"/>
      <w:r w:rsidRPr="00156F48">
        <w:rPr>
          <w:rFonts w:ascii="Garamond" w:hAnsi="Garamond" w:cs="Arial"/>
        </w:rPr>
        <w:t>véanse</w:t>
      </w:r>
      <w:proofErr w:type="spellEnd"/>
      <w:r w:rsidRPr="00156F48">
        <w:rPr>
          <w:rFonts w:ascii="Garamond" w:hAnsi="Garamond" w:cs="Arial"/>
        </w:rPr>
        <w:t xml:space="preserve"> </w:t>
      </w:r>
      <w:r w:rsidRPr="00156F48">
        <w:rPr>
          <w:rFonts w:ascii="Garamond" w:hAnsi="Garamond" w:cs="Arial"/>
          <w:i/>
          <w:iCs/>
        </w:rPr>
        <w:t>Rico vs Argentina</w:t>
      </w:r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párr</w:t>
      </w:r>
      <w:proofErr w:type="spellEnd"/>
      <w:r w:rsidRPr="00156F48">
        <w:rPr>
          <w:rFonts w:ascii="Garamond" w:hAnsi="Garamond" w:cs="Arial"/>
        </w:rPr>
        <w:t xml:space="preserve">. 58, y </w:t>
      </w:r>
      <w:r w:rsidRPr="00156F48">
        <w:rPr>
          <w:rFonts w:ascii="Garamond" w:hAnsi="Garamond" w:cs="Arial"/>
          <w:i/>
          <w:iCs/>
        </w:rPr>
        <w:t xml:space="preserve">Tribunal </w:t>
      </w:r>
      <w:proofErr w:type="spellStart"/>
      <w:r w:rsidRPr="00156F48">
        <w:rPr>
          <w:rFonts w:ascii="Garamond" w:hAnsi="Garamond" w:cs="Arial"/>
          <w:i/>
          <w:iCs/>
        </w:rPr>
        <w:t>constitucional</w:t>
      </w:r>
      <w:proofErr w:type="spellEnd"/>
      <w:r w:rsidRPr="00156F48">
        <w:rPr>
          <w:rFonts w:ascii="Garamond" w:hAnsi="Garamond" w:cs="Arial"/>
          <w:i/>
          <w:iCs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</w:rPr>
        <w:t>Perú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párr</w:t>
      </w:r>
      <w:proofErr w:type="spellEnd"/>
      <w:r w:rsidRPr="00156F48">
        <w:rPr>
          <w:rFonts w:ascii="Garamond" w:hAnsi="Garamond" w:cs="Arial"/>
        </w:rPr>
        <w:t xml:space="preserve">. 77). En </w:t>
      </w:r>
      <w:proofErr w:type="spellStart"/>
      <w:r w:rsidRPr="00156F48">
        <w:rPr>
          <w:rFonts w:ascii="Garamond" w:hAnsi="Garamond" w:cs="Arial"/>
        </w:rPr>
        <w:t>particular</w:t>
      </w:r>
      <w:proofErr w:type="spellEnd"/>
      <w:r w:rsidRPr="00156F48">
        <w:rPr>
          <w:rFonts w:ascii="Garamond" w:hAnsi="Garamond" w:cs="Arial"/>
        </w:rPr>
        <w:t xml:space="preserve">, el </w:t>
      </w:r>
      <w:proofErr w:type="spellStart"/>
      <w:r w:rsidRPr="00156F48">
        <w:rPr>
          <w:rFonts w:ascii="Garamond" w:hAnsi="Garamond" w:cs="Arial"/>
        </w:rPr>
        <w:t>juicio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político</w:t>
      </w:r>
      <w:proofErr w:type="spellEnd"/>
      <w:r w:rsidRPr="00156F48">
        <w:rPr>
          <w:rFonts w:ascii="Garamond" w:hAnsi="Garamond" w:cs="Arial"/>
        </w:rPr>
        <w:t xml:space="preserve">, forma de control sobre la </w:t>
      </w:r>
      <w:proofErr w:type="spellStart"/>
      <w:r w:rsidRPr="00156F48">
        <w:rPr>
          <w:rFonts w:ascii="Garamond" w:hAnsi="Garamond" w:cs="Arial"/>
        </w:rPr>
        <w:t>cual</w:t>
      </w:r>
      <w:proofErr w:type="spellEnd"/>
      <w:r w:rsidRPr="00156F48">
        <w:rPr>
          <w:rFonts w:ascii="Garamond" w:hAnsi="Garamond" w:cs="Arial"/>
        </w:rPr>
        <w:t xml:space="preserve"> la Corte se ha </w:t>
      </w:r>
      <w:proofErr w:type="spellStart"/>
      <w:r w:rsidRPr="00156F48">
        <w:rPr>
          <w:rFonts w:ascii="Garamond" w:hAnsi="Garamond" w:cs="Arial"/>
        </w:rPr>
        <w:t>pronunciado</w:t>
      </w:r>
      <w:proofErr w:type="spellEnd"/>
      <w:r w:rsidRPr="00156F48">
        <w:rPr>
          <w:rFonts w:ascii="Garamond" w:hAnsi="Garamond" w:cs="Arial"/>
        </w:rPr>
        <w:t xml:space="preserve"> en </w:t>
      </w:r>
      <w:proofErr w:type="spellStart"/>
      <w:r w:rsidRPr="00156F48">
        <w:rPr>
          <w:rFonts w:ascii="Garamond" w:hAnsi="Garamond" w:cs="Arial"/>
        </w:rPr>
        <w:t>reiteradas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ocasiones</w:t>
      </w:r>
      <w:proofErr w:type="spellEnd"/>
      <w:r w:rsidRPr="00156F48">
        <w:rPr>
          <w:rFonts w:ascii="Garamond" w:hAnsi="Garamond" w:cs="Arial"/>
        </w:rPr>
        <w:t xml:space="preserve">, no es contrario a la </w:t>
      </w:r>
      <w:proofErr w:type="spellStart"/>
      <w:r w:rsidRPr="00156F48">
        <w:rPr>
          <w:rFonts w:ascii="Garamond" w:hAnsi="Garamond" w:cs="Arial"/>
        </w:rPr>
        <w:t>Convención</w:t>
      </w:r>
      <w:proofErr w:type="spellEnd"/>
      <w:r w:rsidRPr="00156F48">
        <w:rPr>
          <w:rFonts w:ascii="Garamond" w:hAnsi="Garamond" w:cs="Arial"/>
        </w:rPr>
        <w:t xml:space="preserve"> en </w:t>
      </w:r>
      <w:proofErr w:type="spellStart"/>
      <w:r w:rsidRPr="00156F48">
        <w:rPr>
          <w:rFonts w:ascii="Garamond" w:hAnsi="Garamond" w:cs="Arial"/>
        </w:rPr>
        <w:t>sí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mismo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siempre</w:t>
      </w:r>
      <w:proofErr w:type="spellEnd"/>
      <w:r w:rsidRPr="00156F48">
        <w:rPr>
          <w:rFonts w:ascii="Garamond" w:hAnsi="Garamond" w:cs="Arial"/>
        </w:rPr>
        <w:t xml:space="preserve"> y </w:t>
      </w:r>
      <w:proofErr w:type="spellStart"/>
      <w:r w:rsidRPr="00156F48">
        <w:rPr>
          <w:rFonts w:ascii="Garamond" w:hAnsi="Garamond" w:cs="Arial"/>
        </w:rPr>
        <w:t>cuando</w:t>
      </w:r>
      <w:proofErr w:type="spellEnd"/>
      <w:r w:rsidRPr="00156F48">
        <w:rPr>
          <w:rFonts w:ascii="Garamond" w:hAnsi="Garamond" w:cs="Arial"/>
        </w:rPr>
        <w:t xml:space="preserve"> en su </w:t>
      </w:r>
      <w:proofErr w:type="spellStart"/>
      <w:r w:rsidRPr="00156F48">
        <w:rPr>
          <w:rFonts w:ascii="Garamond" w:hAnsi="Garamond" w:cs="Arial"/>
        </w:rPr>
        <w:t>aplicación</w:t>
      </w:r>
      <w:proofErr w:type="spellEnd"/>
      <w:r w:rsidRPr="00156F48">
        <w:rPr>
          <w:rFonts w:ascii="Garamond" w:hAnsi="Garamond" w:cs="Arial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</w:rPr>
        <w:t xml:space="preserve">se </w:t>
      </w:r>
      <w:proofErr w:type="spellStart"/>
      <w:r w:rsidRPr="00156F48">
        <w:rPr>
          <w:rFonts w:ascii="Garamond" w:hAnsi="Garamond" w:cs="Arial"/>
        </w:rPr>
        <w:t>cumplan</w:t>
      </w:r>
      <w:proofErr w:type="spellEnd"/>
      <w:r w:rsidRPr="00156F48">
        <w:rPr>
          <w:rFonts w:ascii="Garamond" w:hAnsi="Garamond" w:cs="Arial"/>
        </w:rPr>
        <w:t xml:space="preserve"> las </w:t>
      </w:r>
      <w:proofErr w:type="spellStart"/>
      <w:r w:rsidRPr="00156F48">
        <w:rPr>
          <w:rFonts w:ascii="Garamond" w:hAnsi="Garamond" w:cs="Arial"/>
        </w:rPr>
        <w:t>garantías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del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artículo</w:t>
      </w:r>
      <w:proofErr w:type="spellEnd"/>
      <w:r w:rsidRPr="00156F48">
        <w:rPr>
          <w:rFonts w:ascii="Garamond" w:hAnsi="Garamond" w:cs="Arial"/>
        </w:rPr>
        <w:t xml:space="preserve"> 8 y </w:t>
      </w:r>
      <w:proofErr w:type="spellStart"/>
      <w:r w:rsidRPr="00156F48">
        <w:rPr>
          <w:rFonts w:ascii="Garamond" w:hAnsi="Garamond" w:cs="Arial"/>
        </w:rPr>
        <w:t>existan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criterios</w:t>
      </w:r>
      <w:proofErr w:type="spellEnd"/>
      <w:r w:rsidRPr="00156F48">
        <w:rPr>
          <w:rFonts w:ascii="Garamond" w:hAnsi="Garamond" w:cs="Arial"/>
        </w:rPr>
        <w:t xml:space="preserve"> que </w:t>
      </w:r>
      <w:proofErr w:type="spellStart"/>
      <w:r w:rsidRPr="00156F48">
        <w:rPr>
          <w:rFonts w:ascii="Garamond" w:hAnsi="Garamond" w:cs="Arial"/>
        </w:rPr>
        <w:t>limiten</w:t>
      </w:r>
      <w:proofErr w:type="spellEnd"/>
      <w:r w:rsidRPr="00156F48">
        <w:rPr>
          <w:rFonts w:ascii="Garamond" w:hAnsi="Garamond" w:cs="Arial"/>
        </w:rPr>
        <w:t xml:space="preserve"> la </w:t>
      </w:r>
      <w:proofErr w:type="spellStart"/>
      <w:r w:rsidRPr="00156F48">
        <w:rPr>
          <w:rFonts w:ascii="Garamond" w:hAnsi="Garamond" w:cs="Arial"/>
        </w:rPr>
        <w:t>discrecionalidad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del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juzgador</w:t>
      </w:r>
      <w:proofErr w:type="spellEnd"/>
      <w:r w:rsidRPr="00156F48">
        <w:rPr>
          <w:rFonts w:ascii="Garamond" w:hAnsi="Garamond" w:cs="Arial"/>
        </w:rPr>
        <w:t xml:space="preserve"> con miras a </w:t>
      </w:r>
      <w:proofErr w:type="spellStart"/>
      <w:r w:rsidRPr="00156F48">
        <w:rPr>
          <w:rFonts w:ascii="Garamond" w:hAnsi="Garamond" w:cs="Arial"/>
        </w:rPr>
        <w:t>proteger</w:t>
      </w:r>
      <w:proofErr w:type="spellEnd"/>
      <w:r w:rsidRPr="00156F48">
        <w:rPr>
          <w:rFonts w:ascii="Garamond" w:hAnsi="Garamond" w:cs="Arial"/>
        </w:rPr>
        <w:t xml:space="preserve"> la </w:t>
      </w:r>
      <w:proofErr w:type="spellStart"/>
      <w:r w:rsidRPr="00156F48">
        <w:rPr>
          <w:rFonts w:ascii="Garamond" w:hAnsi="Garamond" w:cs="Arial"/>
        </w:rPr>
        <w:t>garantía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proofErr w:type="gramStart"/>
      <w:r w:rsidRPr="00156F48">
        <w:rPr>
          <w:rFonts w:ascii="Garamond" w:hAnsi="Garamond" w:cs="Arial"/>
        </w:rPr>
        <w:t>independencia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proofErr w:type="gramEnd"/>
      <w:r w:rsidRPr="00156F48">
        <w:rPr>
          <w:rFonts w:ascii="Garamond" w:hAnsi="Garamond" w:cs="Arial"/>
        </w:rPr>
        <w:t xml:space="preserve"> (</w:t>
      </w:r>
      <w:r w:rsidRPr="00156F48">
        <w:rPr>
          <w:rFonts w:ascii="Garamond" w:hAnsi="Garamond" w:cs="Arial"/>
          <w:i/>
          <w:iCs/>
        </w:rPr>
        <w:t>Rico vs Argentina</w:t>
      </w:r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párr</w:t>
      </w:r>
      <w:proofErr w:type="spellEnd"/>
      <w:r w:rsidRPr="00156F48">
        <w:rPr>
          <w:rFonts w:ascii="Garamond" w:hAnsi="Garamond" w:cs="Arial"/>
        </w:rPr>
        <w:t xml:space="preserve">. 57). </w:t>
      </w:r>
    </w:p>
    <w:p w14:paraId="36CF841C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lo que respecta </w:t>
      </w:r>
      <w:proofErr w:type="gramStart"/>
      <w:r w:rsidRPr="00156F48">
        <w:rPr>
          <w:rFonts w:ascii="Garamond" w:hAnsi="Garamond" w:cs="Arial"/>
          <w:color w:val="000000"/>
        </w:rPr>
        <w:t>a</w:t>
      </w:r>
      <w:proofErr w:type="gram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frente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presiones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externas</w:t>
      </w:r>
      <w:proofErr w:type="spellEnd"/>
      <w:r w:rsidRPr="00156F48">
        <w:rPr>
          <w:rFonts w:ascii="Garamond" w:hAnsi="Garamond" w:cs="Arial"/>
          <w:color w:val="000000"/>
        </w:rPr>
        <w:t xml:space="preserve">, el Tribunal de San José ha </w:t>
      </w:r>
      <w:proofErr w:type="spellStart"/>
      <w:r w:rsidRPr="00156F48">
        <w:rPr>
          <w:rFonts w:ascii="Garamond" w:hAnsi="Garamond" w:cs="Arial"/>
          <w:color w:val="000000"/>
        </w:rPr>
        <w:t>determinado</w:t>
      </w:r>
      <w:proofErr w:type="spellEnd"/>
      <w:r w:rsidRPr="00156F48">
        <w:rPr>
          <w:rFonts w:ascii="Garamond" w:hAnsi="Garamond" w:cs="Arial"/>
          <w:color w:val="000000"/>
        </w:rPr>
        <w:t xml:space="preserve"> que,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parte,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deben </w:t>
      </w:r>
      <w:proofErr w:type="spellStart"/>
      <w:r w:rsidRPr="00156F48">
        <w:rPr>
          <w:rFonts w:ascii="Garamond" w:hAnsi="Garamond" w:cs="Arial"/>
          <w:color w:val="000000"/>
        </w:rPr>
        <w:t>abstenerse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realizar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injerencias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indebidas</w:t>
      </w:r>
      <w:proofErr w:type="spellEnd"/>
      <w:r w:rsidRPr="00156F48">
        <w:rPr>
          <w:rFonts w:ascii="Garamond" w:hAnsi="Garamond" w:cs="Arial"/>
          <w:color w:val="000000"/>
        </w:rPr>
        <w:t xml:space="preserve"> al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o a sus </w:t>
      </w:r>
      <w:proofErr w:type="spellStart"/>
      <w:r w:rsidRPr="00156F48">
        <w:rPr>
          <w:rFonts w:ascii="Garamond" w:hAnsi="Garamond" w:cs="Arial"/>
          <w:color w:val="000000"/>
        </w:rPr>
        <w:t>miembros</w:t>
      </w:r>
      <w:proofErr w:type="spellEnd"/>
      <w:r w:rsidRPr="00156F48">
        <w:rPr>
          <w:rFonts w:ascii="Garamond" w:hAnsi="Garamond" w:cs="Arial"/>
          <w:color w:val="000000"/>
        </w:rPr>
        <w:t xml:space="preserve"> y,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otra</w:t>
      </w:r>
      <w:proofErr w:type="spellEnd"/>
      <w:r w:rsidRPr="00156F48">
        <w:rPr>
          <w:rFonts w:ascii="Garamond" w:hAnsi="Garamond" w:cs="Arial"/>
          <w:color w:val="000000"/>
        </w:rPr>
        <w:t xml:space="preserve">, deben </w:t>
      </w:r>
      <w:proofErr w:type="spellStart"/>
      <w:r w:rsidRPr="00156F48">
        <w:rPr>
          <w:rFonts w:ascii="Garamond" w:hAnsi="Garamond" w:cs="Arial"/>
          <w:color w:val="000000"/>
        </w:rPr>
        <w:t>adoptar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acciones</w:t>
      </w:r>
      <w:proofErr w:type="spellEnd"/>
      <w:r w:rsidRPr="00156F48">
        <w:rPr>
          <w:rFonts w:ascii="Garamond" w:hAnsi="Garamond" w:cs="Arial"/>
          <w:color w:val="000000"/>
        </w:rPr>
        <w:t xml:space="preserve"> para </w:t>
      </w:r>
      <w:proofErr w:type="spellStart"/>
      <w:r w:rsidRPr="00156F48">
        <w:rPr>
          <w:rFonts w:ascii="Garamond" w:hAnsi="Garamond" w:cs="Arial"/>
          <w:color w:val="000000"/>
        </w:rPr>
        <w:t>evitar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interfieran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terceros</w:t>
      </w:r>
      <w:proofErr w:type="spellEnd"/>
      <w:r w:rsidRPr="00156F48">
        <w:rPr>
          <w:rFonts w:ascii="Garamond" w:hAnsi="Garamond" w:cs="Arial"/>
          <w:color w:val="000000"/>
        </w:rPr>
        <w:t xml:space="preserve"> u </w:t>
      </w:r>
      <w:proofErr w:type="spellStart"/>
      <w:r w:rsidRPr="00156F48">
        <w:rPr>
          <w:rFonts w:ascii="Garamond" w:hAnsi="Garamond" w:cs="Arial"/>
          <w:color w:val="000000"/>
        </w:rPr>
        <w:t>otros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órganos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estatal</w:t>
      </w:r>
      <w:proofErr w:type="spellEnd"/>
      <w:r w:rsidRPr="00156F48">
        <w:rPr>
          <w:rFonts w:ascii="Garamond" w:hAnsi="Garamond" w:cs="Arial"/>
          <w:color w:val="000000"/>
        </w:rPr>
        <w:t>.</w:t>
      </w:r>
    </w:p>
    <w:p w14:paraId="323B1B52" w14:textId="0114675E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proofErr w:type="spellStart"/>
      <w:r w:rsidRPr="00156F48">
        <w:rPr>
          <w:rFonts w:ascii="Garamond" w:hAnsi="Garamond" w:cs="Arial"/>
          <w:color w:val="000000"/>
        </w:rPr>
        <w:t>Particularmente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respecto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tribunales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electorales</w:t>
      </w:r>
      <w:proofErr w:type="spellEnd"/>
      <w:r w:rsidRPr="00156F48">
        <w:rPr>
          <w:rFonts w:ascii="Garamond" w:hAnsi="Garamond" w:cs="Arial"/>
          <w:color w:val="000000"/>
        </w:rPr>
        <w:t xml:space="preserve">, la Corte ha </w:t>
      </w:r>
      <w:proofErr w:type="spellStart"/>
      <w:r w:rsidRPr="00156F48">
        <w:rPr>
          <w:rFonts w:ascii="Garamond" w:hAnsi="Garamond" w:cs="Arial"/>
          <w:color w:val="000000"/>
        </w:rPr>
        <w:t>resaltado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importancia</w:t>
      </w:r>
      <w:proofErr w:type="spellEnd"/>
      <w:r w:rsidRPr="00156F48">
        <w:rPr>
          <w:rFonts w:ascii="Garamond" w:hAnsi="Garamond" w:cs="Arial"/>
          <w:color w:val="000000"/>
        </w:rPr>
        <w:t xml:space="preserve"> de su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contra </w:t>
      </w:r>
      <w:proofErr w:type="spellStart"/>
      <w:r w:rsidRPr="00156F48">
        <w:rPr>
          <w:rFonts w:ascii="Garamond" w:hAnsi="Garamond" w:cs="Arial"/>
          <w:color w:val="000000"/>
        </w:rPr>
        <w:t>presiones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otros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 y, en </w:t>
      </w:r>
      <w:proofErr w:type="spellStart"/>
      <w:r w:rsidRPr="00156F48">
        <w:rPr>
          <w:rFonts w:ascii="Garamond" w:hAnsi="Garamond" w:cs="Arial"/>
          <w:color w:val="000000"/>
        </w:rPr>
        <w:t>especial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respecto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Ejecutivo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virtud</w:t>
      </w:r>
      <w:proofErr w:type="spellEnd"/>
      <w:r w:rsidRPr="00156F48">
        <w:rPr>
          <w:rFonts w:ascii="Garamond" w:hAnsi="Garamond" w:cs="Arial"/>
          <w:color w:val="000000"/>
        </w:rPr>
        <w:t xml:space="preserve"> de su </w:t>
      </w:r>
      <w:proofErr w:type="spellStart"/>
      <w:r w:rsidRPr="00156F48">
        <w:rPr>
          <w:rFonts w:ascii="Garamond" w:hAnsi="Garamond" w:cs="Arial"/>
          <w:color w:val="000000"/>
        </w:rPr>
        <w:t>trascendencia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electoral</w:t>
      </w:r>
      <w:proofErr w:type="spellEnd"/>
      <w:r w:rsidRPr="00156F48">
        <w:rPr>
          <w:rFonts w:ascii="Garamond" w:hAnsi="Garamond" w:cs="Arial"/>
          <w:color w:val="000000"/>
        </w:rPr>
        <w:t xml:space="preserve">, en la </w:t>
      </w:r>
      <w:proofErr w:type="spellStart"/>
      <w:r w:rsidRPr="00156F48">
        <w:rPr>
          <w:rFonts w:ascii="Garamond" w:hAnsi="Garamond" w:cs="Arial"/>
          <w:color w:val="000000"/>
        </w:rPr>
        <w:t>democracia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representativa</w:t>
      </w:r>
      <w:proofErr w:type="spellEnd"/>
      <w:r w:rsidRPr="00156F48">
        <w:rPr>
          <w:rFonts w:ascii="Garamond" w:hAnsi="Garamond" w:cs="Arial"/>
          <w:color w:val="000000"/>
        </w:rPr>
        <w:t xml:space="preserve"> y en el control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político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spellStart"/>
      <w:r w:rsidRPr="00156F48">
        <w:rPr>
          <w:rFonts w:ascii="Garamond" w:hAnsi="Garamond" w:cs="Arial"/>
          <w:color w:val="000000"/>
        </w:rPr>
        <w:t>Además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estos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tribunales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también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garantiza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ejercicio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políticos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color w:val="000000"/>
        </w:rPr>
        <w:t>medida</w:t>
      </w:r>
      <w:proofErr w:type="spellEnd"/>
      <w:r w:rsidRPr="00156F48">
        <w:rPr>
          <w:rFonts w:ascii="Garamond" w:hAnsi="Garamond" w:cs="Arial"/>
          <w:color w:val="000000"/>
        </w:rPr>
        <w:t xml:space="preserve"> en que </w:t>
      </w:r>
      <w:proofErr w:type="spellStart"/>
      <w:r w:rsidRPr="00156F48">
        <w:rPr>
          <w:rFonts w:ascii="Garamond" w:hAnsi="Garamond" w:cs="Arial"/>
          <w:color w:val="000000"/>
        </w:rPr>
        <w:t>permite</w:t>
      </w:r>
      <w:proofErr w:type="spellEnd"/>
      <w:r w:rsidRPr="00156F48">
        <w:rPr>
          <w:rFonts w:ascii="Garamond" w:hAnsi="Garamond" w:cs="Arial"/>
          <w:color w:val="000000"/>
        </w:rPr>
        <w:t xml:space="preserve"> la</w:t>
      </w:r>
      <w:proofErr w:type="gramStart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proofErr w:type="spellStart"/>
      <w:r w:rsidRPr="00156F48">
        <w:rPr>
          <w:rFonts w:ascii="Garamond" w:hAnsi="Garamond" w:cs="Arial"/>
          <w:color w:val="000000"/>
        </w:rPr>
        <w:t>efectiva</w:t>
      </w:r>
      <w:proofErr w:type="spellEnd"/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participación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color w:val="000000"/>
        </w:rPr>
        <w:t>dirección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asuntos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públicos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votar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ser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elegido</w:t>
      </w:r>
      <w:proofErr w:type="spellEnd"/>
      <w:r w:rsidRPr="00156F48">
        <w:rPr>
          <w:rFonts w:ascii="Garamond" w:hAnsi="Garamond" w:cs="Arial"/>
          <w:color w:val="000000"/>
        </w:rPr>
        <w:t xml:space="preserve">, y </w:t>
      </w:r>
      <w:proofErr w:type="spellStart"/>
      <w:r w:rsidRPr="00156F48">
        <w:rPr>
          <w:rFonts w:ascii="Garamond" w:hAnsi="Garamond" w:cs="Arial"/>
          <w:color w:val="000000"/>
        </w:rPr>
        <w:t>tener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acceso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condiciones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generales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igualdad</w:t>
      </w:r>
      <w:proofErr w:type="spellEnd"/>
      <w:r w:rsidRPr="00156F48">
        <w:rPr>
          <w:rFonts w:ascii="Garamond" w:hAnsi="Garamond" w:cs="Arial"/>
          <w:color w:val="000000"/>
        </w:rPr>
        <w:t xml:space="preserve"> a las </w:t>
      </w:r>
      <w:proofErr w:type="spellStart"/>
      <w:r w:rsidRPr="00156F48">
        <w:rPr>
          <w:rFonts w:ascii="Garamond" w:hAnsi="Garamond" w:cs="Arial"/>
          <w:color w:val="000000"/>
        </w:rPr>
        <w:t>funciones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públicas</w:t>
      </w:r>
      <w:proofErr w:type="spellEnd"/>
      <w:r w:rsidR="008D40B7" w:rsidRPr="00156F48">
        <w:rPr>
          <w:rFonts w:ascii="Garamond" w:hAnsi="Garamond" w:cs="Arial"/>
          <w:color w:val="000000"/>
        </w:rPr>
        <w:t>»</w:t>
      </w:r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Aguinaga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Aillón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,</w:t>
      </w:r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70). La 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 nota con </w:t>
      </w:r>
      <w:proofErr w:type="spellStart"/>
      <w:r w:rsidRPr="00156F48">
        <w:rPr>
          <w:rFonts w:ascii="Garamond" w:hAnsi="Garamond" w:cs="Arial"/>
          <w:color w:val="000000"/>
        </w:rPr>
        <w:t>preocupación</w:t>
      </w:r>
      <w:proofErr w:type="spellEnd"/>
      <w:r w:rsidRPr="00156F48">
        <w:rPr>
          <w:rFonts w:ascii="Garamond" w:hAnsi="Garamond" w:cs="Arial"/>
          <w:color w:val="000000"/>
        </w:rPr>
        <w:t xml:space="preserve"> que la </w:t>
      </w:r>
      <w:proofErr w:type="spellStart"/>
      <w:r w:rsidRPr="00156F48">
        <w:rPr>
          <w:rFonts w:ascii="Garamond" w:hAnsi="Garamond" w:cs="Arial"/>
          <w:color w:val="000000"/>
        </w:rPr>
        <w:t>afectación</w:t>
      </w:r>
      <w:proofErr w:type="spellEnd"/>
      <w:r w:rsidRPr="00156F48">
        <w:rPr>
          <w:rFonts w:ascii="Garamond" w:hAnsi="Garamond" w:cs="Arial"/>
          <w:color w:val="000000"/>
        </w:rPr>
        <w:t xml:space="preserve"> a los </w:t>
      </w:r>
      <w:proofErr w:type="spellStart"/>
      <w:r w:rsidRPr="00156F48">
        <w:rPr>
          <w:rFonts w:ascii="Garamond" w:hAnsi="Garamond" w:cs="Arial"/>
          <w:color w:val="000000"/>
        </w:rPr>
        <w:t>tribunales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electorales</w:t>
      </w:r>
      <w:proofErr w:type="spellEnd"/>
      <w:r w:rsidRPr="00156F48">
        <w:rPr>
          <w:rFonts w:ascii="Garamond" w:hAnsi="Garamond" w:cs="Arial"/>
          <w:color w:val="000000"/>
        </w:rPr>
        <w:t xml:space="preserve"> se ha </w:t>
      </w:r>
      <w:proofErr w:type="spellStart"/>
      <w:r w:rsidRPr="00156F48">
        <w:rPr>
          <w:rFonts w:ascii="Garamond" w:hAnsi="Garamond" w:cs="Arial"/>
          <w:color w:val="000000"/>
        </w:rPr>
        <w:t>utilizado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nivel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mundial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regional</w:t>
      </w:r>
      <w:proofErr w:type="spellEnd"/>
      <w:r w:rsidRPr="00156F48">
        <w:rPr>
          <w:rFonts w:ascii="Garamond" w:hAnsi="Garamond" w:cs="Arial"/>
          <w:color w:val="000000"/>
        </w:rPr>
        <w:t xml:space="preserve"> para </w:t>
      </w:r>
      <w:r w:rsidR="008D40B7" w:rsidRPr="00156F48">
        <w:rPr>
          <w:rFonts w:ascii="Garamond" w:hAnsi="Garamond" w:cs="Arial"/>
          <w:color w:val="000000"/>
        </w:rPr>
        <w:t xml:space="preserve">« </w:t>
      </w:r>
      <w:r w:rsidRPr="00156F48">
        <w:rPr>
          <w:rFonts w:ascii="Garamond" w:hAnsi="Garamond" w:cs="Arial"/>
          <w:color w:val="000000"/>
        </w:rPr>
        <w:t>[</w:t>
      </w:r>
      <w:proofErr w:type="spellStart"/>
      <w:r w:rsidRPr="00156F48">
        <w:rPr>
          <w:rFonts w:ascii="Garamond" w:hAnsi="Garamond" w:cs="Arial"/>
          <w:color w:val="000000"/>
        </w:rPr>
        <w:t>vaciar</w:t>
      </w:r>
      <w:proofErr w:type="spellEnd"/>
      <w:r w:rsidRPr="00156F48">
        <w:rPr>
          <w:rFonts w:ascii="Garamond" w:hAnsi="Garamond" w:cs="Arial"/>
          <w:color w:val="000000"/>
        </w:rPr>
        <w:t xml:space="preserve">] de </w:t>
      </w:r>
      <w:proofErr w:type="spellStart"/>
      <w:r w:rsidRPr="00156F48">
        <w:rPr>
          <w:rFonts w:ascii="Garamond" w:hAnsi="Garamond" w:cs="Arial"/>
          <w:color w:val="000000"/>
        </w:rPr>
        <w:t>contenido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instituciones</w:t>
      </w:r>
      <w:proofErr w:type="spellEnd"/>
      <w:r w:rsidRPr="00156F48">
        <w:rPr>
          <w:rFonts w:ascii="Garamond" w:hAnsi="Garamond" w:cs="Arial"/>
          <w:color w:val="000000"/>
        </w:rPr>
        <w:t xml:space="preserve"> […] </w:t>
      </w:r>
      <w:proofErr w:type="spellStart"/>
      <w:r w:rsidRPr="00156F48">
        <w:rPr>
          <w:rFonts w:ascii="Garamond" w:hAnsi="Garamond" w:cs="Arial"/>
          <w:color w:val="000000"/>
        </w:rPr>
        <w:t>dejando</w:t>
      </w:r>
      <w:proofErr w:type="spellEnd"/>
      <w:r w:rsidRPr="00156F48">
        <w:rPr>
          <w:rFonts w:ascii="Garamond" w:hAnsi="Garamond" w:cs="Arial"/>
          <w:color w:val="000000"/>
        </w:rPr>
        <w:t xml:space="preserve"> solo su </w:t>
      </w:r>
      <w:proofErr w:type="spellStart"/>
      <w:r w:rsidRPr="00156F48">
        <w:rPr>
          <w:rFonts w:ascii="Garamond" w:hAnsi="Garamond" w:cs="Arial"/>
          <w:color w:val="000000"/>
        </w:rPr>
        <w:t>mera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apariencia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proofErr w:type="gramEnd"/>
      <w:r w:rsidRPr="00156F48">
        <w:rPr>
          <w:rFonts w:ascii="Garamond" w:hAnsi="Garamond" w:cs="Arial"/>
          <w:color w:val="000000"/>
        </w:rPr>
        <w:t xml:space="preserve"> (</w:t>
      </w:r>
      <w:r w:rsidRPr="00156F48">
        <w:rPr>
          <w:rFonts w:ascii="Garamond" w:hAnsi="Garamond" w:cs="Arial"/>
          <w:i/>
          <w:iCs/>
          <w:color w:val="000000"/>
        </w:rPr>
        <w:t xml:space="preserve">Ibidem,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71).</w:t>
      </w:r>
    </w:p>
    <w:p w14:paraId="67A77275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el </w:t>
      </w:r>
      <w:proofErr w:type="spellStart"/>
      <w:r w:rsidRPr="00156F48">
        <w:rPr>
          <w:rFonts w:ascii="Garamond" w:hAnsi="Garamond" w:cs="Arial"/>
          <w:color w:val="000000"/>
        </w:rPr>
        <w:t>contexto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latinoamericano</w:t>
      </w:r>
      <w:proofErr w:type="spellEnd"/>
      <w:r w:rsidRPr="00156F48">
        <w:rPr>
          <w:rFonts w:ascii="Garamond" w:hAnsi="Garamond" w:cs="Arial"/>
          <w:color w:val="000000"/>
        </w:rPr>
        <w:t xml:space="preserve"> se han </w:t>
      </w:r>
      <w:proofErr w:type="spellStart"/>
      <w:r w:rsidRPr="00156F48">
        <w:rPr>
          <w:rFonts w:ascii="Garamond" w:hAnsi="Garamond" w:cs="Arial"/>
          <w:color w:val="000000"/>
        </w:rPr>
        <w:t>suscitado</w:t>
      </w:r>
      <w:proofErr w:type="spellEnd"/>
      <w:r w:rsidRPr="00156F48">
        <w:rPr>
          <w:rFonts w:ascii="Garamond" w:hAnsi="Garamond" w:cs="Arial"/>
          <w:color w:val="000000"/>
        </w:rPr>
        <w:t xml:space="preserve"> graves </w:t>
      </w:r>
      <w:proofErr w:type="spellStart"/>
      <w:r w:rsidRPr="00156F48">
        <w:rPr>
          <w:rFonts w:ascii="Garamond" w:hAnsi="Garamond" w:cs="Arial"/>
          <w:color w:val="000000"/>
        </w:rPr>
        <w:t>afectaciones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y en </w:t>
      </w:r>
      <w:proofErr w:type="spellStart"/>
      <w:r w:rsidRPr="00156F48">
        <w:rPr>
          <w:rFonts w:ascii="Garamond" w:hAnsi="Garamond" w:cs="Arial"/>
          <w:color w:val="000000"/>
        </w:rPr>
        <w:t>consecuencia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división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poderes</w:t>
      </w:r>
      <w:proofErr w:type="spellEnd"/>
      <w:r w:rsidRPr="00156F48">
        <w:rPr>
          <w:rFonts w:ascii="Garamond" w:hAnsi="Garamond" w:cs="Arial"/>
          <w:color w:val="000000"/>
        </w:rPr>
        <w:t xml:space="preserve"> y el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de Derecho.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ejemplo</w:t>
      </w:r>
      <w:proofErr w:type="spellEnd"/>
      <w:r w:rsidRPr="00156F48">
        <w:rPr>
          <w:rFonts w:ascii="Garamond" w:hAnsi="Garamond" w:cs="Arial"/>
          <w:color w:val="000000"/>
        </w:rPr>
        <w:t xml:space="preserve">, en un </w:t>
      </w:r>
      <w:proofErr w:type="spellStart"/>
      <w:r w:rsidRPr="00156F48">
        <w:rPr>
          <w:rFonts w:ascii="Garamond" w:hAnsi="Garamond" w:cs="Arial"/>
          <w:color w:val="000000"/>
        </w:rPr>
        <w:t>contexto</w:t>
      </w:r>
      <w:proofErr w:type="spellEnd"/>
      <w:r w:rsidRPr="00156F48">
        <w:rPr>
          <w:rFonts w:ascii="Garamond" w:hAnsi="Garamond" w:cs="Arial"/>
          <w:color w:val="000000"/>
        </w:rPr>
        <w:t xml:space="preserve"> de grave </w:t>
      </w:r>
      <w:proofErr w:type="spellStart"/>
      <w:r w:rsidRPr="00156F48">
        <w:rPr>
          <w:rFonts w:ascii="Garamond" w:hAnsi="Garamond" w:cs="Arial"/>
          <w:color w:val="000000"/>
        </w:rPr>
        <w:t>inestabilidad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política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Ecuador</w:t>
      </w:r>
      <w:proofErr w:type="spellEnd"/>
      <w:r w:rsidRPr="00156F48">
        <w:rPr>
          <w:rFonts w:ascii="Garamond" w:hAnsi="Garamond" w:cs="Arial"/>
          <w:color w:val="000000"/>
        </w:rPr>
        <w:t xml:space="preserve"> entre </w:t>
      </w:r>
      <w:proofErr w:type="spellStart"/>
      <w:r w:rsidRPr="00156F48">
        <w:rPr>
          <w:rFonts w:ascii="Garamond" w:hAnsi="Garamond" w:cs="Arial"/>
          <w:color w:val="000000"/>
        </w:rPr>
        <w:t>noviembre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diciembre</w:t>
      </w:r>
      <w:proofErr w:type="spellEnd"/>
      <w:r w:rsidRPr="00156F48">
        <w:rPr>
          <w:rFonts w:ascii="Garamond" w:hAnsi="Garamond" w:cs="Arial"/>
          <w:color w:val="000000"/>
        </w:rPr>
        <w:t xml:space="preserve"> de 2004, se </w:t>
      </w:r>
      <w:proofErr w:type="spellStart"/>
      <w:r w:rsidRPr="00156F48">
        <w:rPr>
          <w:rFonts w:ascii="Garamond" w:hAnsi="Garamond" w:cs="Arial"/>
          <w:color w:val="000000"/>
        </w:rPr>
        <w:t>atentó</w:t>
      </w:r>
      <w:proofErr w:type="spellEnd"/>
      <w:r w:rsidRPr="00156F48">
        <w:rPr>
          <w:rFonts w:ascii="Garamond" w:hAnsi="Garamond" w:cs="Arial"/>
          <w:color w:val="000000"/>
        </w:rPr>
        <w:t xml:space="preserve"> contra las </w:t>
      </w:r>
      <w:proofErr w:type="spellStart"/>
      <w:r w:rsidRPr="00156F48">
        <w:rPr>
          <w:rFonts w:ascii="Garamond" w:hAnsi="Garamond" w:cs="Arial"/>
          <w:color w:val="000000"/>
        </w:rPr>
        <w:t>tres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altas</w:t>
      </w:r>
      <w:proofErr w:type="spellEnd"/>
      <w:r w:rsidRPr="00156F48">
        <w:rPr>
          <w:rFonts w:ascii="Garamond" w:hAnsi="Garamond" w:cs="Arial"/>
          <w:color w:val="000000"/>
        </w:rPr>
        <w:t xml:space="preserve"> cortes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país</w:t>
      </w:r>
      <w:proofErr w:type="spellEnd"/>
      <w:r w:rsidRPr="00156F48">
        <w:rPr>
          <w:rFonts w:ascii="Garamond" w:hAnsi="Garamond" w:cs="Arial"/>
          <w:color w:val="000000"/>
        </w:rPr>
        <w:t xml:space="preserve">, Corte </w:t>
      </w:r>
      <w:proofErr w:type="spellStart"/>
      <w:r w:rsidRPr="00156F48">
        <w:rPr>
          <w:rFonts w:ascii="Garamond" w:hAnsi="Garamond" w:cs="Arial"/>
          <w:color w:val="000000"/>
        </w:rPr>
        <w:t>Suprema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, Tribunal </w:t>
      </w:r>
      <w:proofErr w:type="spellStart"/>
      <w:r w:rsidRPr="00156F48">
        <w:rPr>
          <w:rFonts w:ascii="Garamond" w:hAnsi="Garamond" w:cs="Arial"/>
          <w:color w:val="000000"/>
        </w:rPr>
        <w:t>Constitucional</w:t>
      </w:r>
      <w:proofErr w:type="spellEnd"/>
      <w:r w:rsidRPr="00156F48">
        <w:rPr>
          <w:rFonts w:ascii="Garamond" w:hAnsi="Garamond" w:cs="Arial"/>
          <w:color w:val="000000"/>
        </w:rPr>
        <w:t xml:space="preserve"> y Tribunal Superior </w:t>
      </w:r>
      <w:proofErr w:type="spellStart"/>
      <w:r w:rsidRPr="00156F48">
        <w:rPr>
          <w:rFonts w:ascii="Garamond" w:hAnsi="Garamond" w:cs="Arial"/>
          <w:color w:val="000000"/>
        </w:rPr>
        <w:t>Electoral</w:t>
      </w:r>
      <w:proofErr w:type="spellEnd"/>
      <w:r w:rsidRPr="00156F48">
        <w:rPr>
          <w:rFonts w:ascii="Garamond" w:hAnsi="Garamond" w:cs="Arial"/>
          <w:color w:val="000000"/>
        </w:rPr>
        <w:t xml:space="preserve">, a </w:t>
      </w:r>
      <w:proofErr w:type="spellStart"/>
      <w:r w:rsidRPr="00156F48">
        <w:rPr>
          <w:rFonts w:ascii="Garamond" w:hAnsi="Garamond" w:cs="Arial"/>
          <w:color w:val="000000"/>
        </w:rPr>
        <w:t>través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destituciones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masivas</w:t>
      </w:r>
      <w:proofErr w:type="spellEnd"/>
      <w:r w:rsidRPr="00156F48">
        <w:rPr>
          <w:rFonts w:ascii="Garamond" w:hAnsi="Garamond" w:cs="Arial"/>
          <w:color w:val="000000"/>
        </w:rPr>
        <w:t xml:space="preserve"> de los </w:t>
      </w:r>
      <w:proofErr w:type="spellStart"/>
      <w:r w:rsidRPr="00156F48">
        <w:rPr>
          <w:rFonts w:ascii="Garamond" w:hAnsi="Garamond" w:cs="Arial"/>
          <w:color w:val="000000"/>
        </w:rPr>
        <w:t>juzgadores</w:t>
      </w:r>
      <w:proofErr w:type="spellEnd"/>
      <w:r w:rsidRPr="00156F48">
        <w:rPr>
          <w:rFonts w:ascii="Garamond" w:hAnsi="Garamond" w:cs="Arial"/>
          <w:color w:val="000000"/>
        </w:rPr>
        <w:t xml:space="preserve">. Sobre </w:t>
      </w:r>
      <w:proofErr w:type="spellStart"/>
      <w:r w:rsidRPr="00156F48">
        <w:rPr>
          <w:rFonts w:ascii="Garamond" w:hAnsi="Garamond" w:cs="Arial"/>
          <w:color w:val="000000"/>
        </w:rPr>
        <w:t>estos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casos</w:t>
      </w:r>
      <w:proofErr w:type="spellEnd"/>
      <w:r w:rsidRPr="00156F48">
        <w:rPr>
          <w:rFonts w:ascii="Garamond" w:hAnsi="Garamond" w:cs="Arial"/>
          <w:color w:val="000000"/>
        </w:rPr>
        <w:t xml:space="preserve"> el Tribunal de San José se ha </w:t>
      </w:r>
      <w:proofErr w:type="spellStart"/>
      <w:r w:rsidRPr="00156F48">
        <w:rPr>
          <w:rFonts w:ascii="Garamond" w:hAnsi="Garamond" w:cs="Arial"/>
          <w:color w:val="000000"/>
        </w:rPr>
        <w:t>pronunciado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tres</w:t>
      </w:r>
      <w:proofErr w:type="spellEnd"/>
      <w:r w:rsidRPr="00156F48">
        <w:rPr>
          <w:rFonts w:ascii="Garamond" w:hAnsi="Garamond" w:cs="Arial"/>
          <w:color w:val="000000"/>
        </w:rPr>
        <w:t xml:space="preserve"> sentencias (</w:t>
      </w:r>
      <w:r w:rsidRPr="00156F48">
        <w:rPr>
          <w:rFonts w:ascii="Garamond" w:hAnsi="Garamond" w:cs="Arial"/>
          <w:i/>
          <w:iCs/>
          <w:color w:val="000000"/>
        </w:rPr>
        <w:t xml:space="preserve">Corte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Suprema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Justicia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(Quintana Coello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), Tribunal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Constitucional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(Camba Campos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),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Aguinaga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Aillón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).</w:t>
      </w:r>
    </w:p>
    <w:p w14:paraId="0CAD3FF5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En </w:t>
      </w:r>
      <w:proofErr w:type="spellStart"/>
      <w:r w:rsidRPr="00156F48">
        <w:rPr>
          <w:rFonts w:ascii="Garamond" w:hAnsi="Garamond" w:cs="Arial"/>
          <w:color w:val="000000"/>
        </w:rPr>
        <w:t>particular</w:t>
      </w:r>
      <w:proofErr w:type="spellEnd"/>
      <w:r w:rsidRPr="00156F48">
        <w:rPr>
          <w:rFonts w:ascii="Garamond" w:hAnsi="Garamond" w:cs="Arial"/>
          <w:color w:val="000000"/>
        </w:rPr>
        <w:t xml:space="preserve">, en el </w:t>
      </w:r>
      <w:proofErr w:type="spellStart"/>
      <w:r w:rsidRPr="00156F48">
        <w:rPr>
          <w:rFonts w:ascii="Garamond" w:hAnsi="Garamond" w:cs="Arial"/>
          <w:color w:val="000000"/>
        </w:rPr>
        <w:t>caso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Aguinaga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Aillón</w:t>
      </w:r>
      <w:proofErr w:type="spellEnd"/>
      <w:r w:rsidRPr="00156F48">
        <w:rPr>
          <w:rFonts w:ascii="Garamond" w:hAnsi="Garamond" w:cs="Arial"/>
          <w:color w:val="000000"/>
        </w:rPr>
        <w:t xml:space="preserve">, sentencia </w:t>
      </w:r>
      <w:proofErr w:type="spellStart"/>
      <w:r w:rsidRPr="00156F48">
        <w:rPr>
          <w:rFonts w:ascii="Garamond" w:hAnsi="Garamond" w:cs="Arial"/>
          <w:color w:val="000000"/>
        </w:rPr>
        <w:t>emitida</w:t>
      </w:r>
      <w:proofErr w:type="spellEnd"/>
      <w:r w:rsidRPr="00156F48">
        <w:rPr>
          <w:rFonts w:ascii="Garamond" w:hAnsi="Garamond" w:cs="Arial"/>
          <w:color w:val="000000"/>
        </w:rPr>
        <w:t xml:space="preserve"> el 30 de </w:t>
      </w:r>
      <w:proofErr w:type="spellStart"/>
      <w:r w:rsidRPr="00156F48">
        <w:rPr>
          <w:rFonts w:ascii="Garamond" w:hAnsi="Garamond" w:cs="Arial"/>
          <w:color w:val="000000"/>
        </w:rPr>
        <w:t>enero</w:t>
      </w:r>
      <w:proofErr w:type="spellEnd"/>
      <w:r w:rsidRPr="00156F48">
        <w:rPr>
          <w:rFonts w:ascii="Garamond" w:hAnsi="Garamond" w:cs="Arial"/>
          <w:color w:val="000000"/>
        </w:rPr>
        <w:t xml:space="preserve"> de 2023, la Corte </w:t>
      </w:r>
      <w:proofErr w:type="spellStart"/>
      <w:r w:rsidRPr="00156F48">
        <w:rPr>
          <w:rFonts w:ascii="Garamond" w:hAnsi="Garamond" w:cs="Arial"/>
          <w:color w:val="000000"/>
        </w:rPr>
        <w:t>también</w:t>
      </w:r>
      <w:proofErr w:type="spellEnd"/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pronunció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respecto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relación</w:t>
      </w:r>
      <w:proofErr w:type="spellEnd"/>
      <w:r w:rsidRPr="00156F48">
        <w:rPr>
          <w:rFonts w:ascii="Garamond" w:hAnsi="Garamond" w:cs="Arial"/>
          <w:color w:val="000000"/>
        </w:rPr>
        <w:t xml:space="preserve"> entre la </w:t>
      </w:r>
      <w:proofErr w:type="spellStart"/>
      <w:r w:rsidRPr="00156F48">
        <w:rPr>
          <w:rFonts w:ascii="Garamond" w:hAnsi="Garamond" w:cs="Arial"/>
          <w:color w:val="000000"/>
        </w:rPr>
        <w:t>garantía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y el derecho a la </w:t>
      </w:r>
      <w:proofErr w:type="spellStart"/>
      <w:r w:rsidRPr="00156F48">
        <w:rPr>
          <w:rFonts w:ascii="Garamond" w:hAnsi="Garamond" w:cs="Arial"/>
          <w:color w:val="000000"/>
        </w:rPr>
        <w:t>estabilidad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laboral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protegido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artículo</w:t>
      </w:r>
      <w:proofErr w:type="spellEnd"/>
      <w:r w:rsidRPr="00156F48">
        <w:rPr>
          <w:rFonts w:ascii="Garamond" w:hAnsi="Garamond" w:cs="Arial"/>
          <w:color w:val="000000"/>
        </w:rPr>
        <w:t xml:space="preserve"> 26 de la </w:t>
      </w:r>
      <w:proofErr w:type="spellStart"/>
      <w:r w:rsidRPr="00156F48">
        <w:rPr>
          <w:rFonts w:ascii="Garamond" w:hAnsi="Garamond" w:cs="Arial"/>
          <w:color w:val="000000"/>
        </w:rPr>
        <w:t>Convención</w:t>
      </w:r>
      <w:proofErr w:type="spellEnd"/>
      <w:r w:rsidRPr="00156F48">
        <w:rPr>
          <w:rFonts w:ascii="Garamond" w:hAnsi="Garamond" w:cs="Arial"/>
          <w:color w:val="000000"/>
        </w:rPr>
        <w:t xml:space="preserve"> Americana, el </w:t>
      </w:r>
      <w:proofErr w:type="spellStart"/>
      <w:r w:rsidRPr="00156F48">
        <w:rPr>
          <w:rFonts w:ascii="Garamond" w:hAnsi="Garamond" w:cs="Arial"/>
          <w:color w:val="000000"/>
        </w:rPr>
        <w:t>cual</w:t>
      </w:r>
      <w:proofErr w:type="spellEnd"/>
      <w:r w:rsidRPr="00156F48">
        <w:rPr>
          <w:rFonts w:ascii="Garamond" w:hAnsi="Garamond" w:cs="Arial"/>
          <w:color w:val="000000"/>
        </w:rPr>
        <w:t xml:space="preserve"> no </w:t>
      </w:r>
      <w:proofErr w:type="spellStart"/>
      <w:r w:rsidRPr="00156F48">
        <w:rPr>
          <w:rFonts w:ascii="Garamond" w:hAnsi="Garamond" w:cs="Arial"/>
          <w:color w:val="000000"/>
        </w:rPr>
        <w:t>implica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permanencia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irrestricta</w:t>
      </w:r>
      <w:proofErr w:type="spellEnd"/>
      <w:r w:rsidRPr="00156F48">
        <w:rPr>
          <w:rFonts w:ascii="Garamond" w:hAnsi="Garamond" w:cs="Arial"/>
          <w:color w:val="000000"/>
        </w:rPr>
        <w:t xml:space="preserve"> en el </w:t>
      </w:r>
      <w:proofErr w:type="spellStart"/>
      <w:r w:rsidRPr="00156F48">
        <w:rPr>
          <w:rFonts w:ascii="Garamond" w:hAnsi="Garamond" w:cs="Arial"/>
          <w:color w:val="000000"/>
        </w:rPr>
        <w:t>puesto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trabajo</w:t>
      </w:r>
      <w:proofErr w:type="spellEnd"/>
      <w:r w:rsidRPr="00156F48">
        <w:rPr>
          <w:rFonts w:ascii="Garamond" w:hAnsi="Garamond" w:cs="Arial"/>
          <w:color w:val="000000"/>
        </w:rPr>
        <w:t xml:space="preserve"> sino </w:t>
      </w:r>
      <w:proofErr w:type="spellStart"/>
      <w:r w:rsidRPr="00156F48">
        <w:rPr>
          <w:rFonts w:ascii="Garamond" w:hAnsi="Garamond" w:cs="Arial"/>
          <w:color w:val="000000"/>
        </w:rPr>
        <w:t>más</w:t>
      </w:r>
      <w:proofErr w:type="spellEnd"/>
      <w:r w:rsidRPr="00156F48">
        <w:rPr>
          <w:rFonts w:ascii="Garamond" w:hAnsi="Garamond" w:cs="Arial"/>
          <w:color w:val="000000"/>
        </w:rPr>
        <w:t xml:space="preserve"> bien que el </w:t>
      </w:r>
      <w:proofErr w:type="spellStart"/>
      <w:r w:rsidRPr="00156F48">
        <w:rPr>
          <w:rFonts w:ascii="Garamond" w:hAnsi="Garamond" w:cs="Arial"/>
          <w:color w:val="000000"/>
        </w:rPr>
        <w:t>trabajador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tenga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certeza</w:t>
      </w:r>
      <w:proofErr w:type="spellEnd"/>
      <w:r w:rsidRPr="00156F48">
        <w:rPr>
          <w:rFonts w:ascii="Garamond" w:hAnsi="Garamond" w:cs="Arial"/>
          <w:color w:val="000000"/>
        </w:rPr>
        <w:t xml:space="preserve"> de que en </w:t>
      </w:r>
      <w:proofErr w:type="spellStart"/>
      <w:r w:rsidRPr="00156F48">
        <w:rPr>
          <w:rFonts w:ascii="Garamond" w:hAnsi="Garamond" w:cs="Arial"/>
          <w:color w:val="000000"/>
        </w:rPr>
        <w:t>caso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despido</w:t>
      </w:r>
      <w:proofErr w:type="spellEnd"/>
      <w:r w:rsidRPr="00156F48">
        <w:rPr>
          <w:rFonts w:ascii="Garamond" w:hAnsi="Garamond" w:cs="Arial"/>
          <w:color w:val="000000"/>
        </w:rPr>
        <w:t xml:space="preserve"> o </w:t>
      </w:r>
      <w:proofErr w:type="spellStart"/>
      <w:r w:rsidRPr="00156F48">
        <w:rPr>
          <w:rFonts w:ascii="Garamond" w:hAnsi="Garamond" w:cs="Arial"/>
          <w:color w:val="000000"/>
        </w:rPr>
        <w:t>separación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medien</w:t>
      </w:r>
      <w:proofErr w:type="spellEnd"/>
      <w:r w:rsidRPr="00156F48">
        <w:rPr>
          <w:rFonts w:ascii="Garamond" w:hAnsi="Garamond" w:cs="Arial"/>
          <w:color w:val="000000"/>
        </w:rPr>
        <w:t xml:space="preserve"> causas </w:t>
      </w:r>
      <w:proofErr w:type="spellStart"/>
      <w:r w:rsidRPr="00156F48">
        <w:rPr>
          <w:rFonts w:ascii="Garamond" w:hAnsi="Garamond" w:cs="Arial"/>
          <w:color w:val="000000"/>
        </w:rPr>
        <w:t>justificadas</w:t>
      </w:r>
      <w:proofErr w:type="spellEnd"/>
      <w:r w:rsidRPr="00156F48">
        <w:rPr>
          <w:rFonts w:ascii="Garamond" w:hAnsi="Garamond" w:cs="Arial"/>
          <w:color w:val="000000"/>
        </w:rPr>
        <w:t xml:space="preserve"> y </w:t>
      </w:r>
      <w:proofErr w:type="spellStart"/>
      <w:r w:rsidRPr="00156F48">
        <w:rPr>
          <w:rFonts w:ascii="Garamond" w:hAnsi="Garamond" w:cs="Arial"/>
          <w:color w:val="000000"/>
        </w:rPr>
        <w:t>acreditadas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empleador</w:t>
      </w:r>
      <w:proofErr w:type="spellEnd"/>
      <w:r w:rsidRPr="00156F48">
        <w:rPr>
          <w:rFonts w:ascii="Garamond" w:hAnsi="Garamond" w:cs="Arial"/>
          <w:color w:val="000000"/>
        </w:rPr>
        <w:t xml:space="preserve">, y que, en su </w:t>
      </w:r>
      <w:proofErr w:type="spellStart"/>
      <w:r w:rsidRPr="00156F48">
        <w:rPr>
          <w:rFonts w:ascii="Garamond" w:hAnsi="Garamond" w:cs="Arial"/>
          <w:color w:val="000000"/>
        </w:rPr>
        <w:t>caso</w:t>
      </w:r>
      <w:proofErr w:type="spellEnd"/>
      <w:r w:rsidRPr="00156F48">
        <w:rPr>
          <w:rFonts w:ascii="Garamond" w:hAnsi="Garamond" w:cs="Arial"/>
          <w:color w:val="000000"/>
        </w:rPr>
        <w:t xml:space="preserve">, el </w:t>
      </w:r>
      <w:proofErr w:type="spellStart"/>
      <w:r w:rsidRPr="00156F48">
        <w:rPr>
          <w:rFonts w:ascii="Garamond" w:hAnsi="Garamond" w:cs="Arial"/>
          <w:color w:val="000000"/>
        </w:rPr>
        <w:t>trabajador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debe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poder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apelar</w:t>
      </w:r>
      <w:proofErr w:type="spellEnd"/>
      <w:r w:rsidRPr="00156F48">
        <w:rPr>
          <w:rFonts w:ascii="Garamond" w:hAnsi="Garamond" w:cs="Arial"/>
          <w:color w:val="000000"/>
        </w:rPr>
        <w:t xml:space="preserve"> ante </w:t>
      </w:r>
      <w:proofErr w:type="spellStart"/>
      <w:r w:rsidRPr="00156F48">
        <w:rPr>
          <w:rFonts w:ascii="Garamond" w:hAnsi="Garamond" w:cs="Arial"/>
          <w:color w:val="000000"/>
        </w:rPr>
        <w:t>autoridades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competentes</w:t>
      </w:r>
      <w:proofErr w:type="spellEnd"/>
      <w:r w:rsidRPr="00156F48">
        <w:rPr>
          <w:rFonts w:ascii="Garamond" w:hAnsi="Garamond" w:cs="Arial"/>
          <w:color w:val="000000"/>
        </w:rPr>
        <w:t>.</w:t>
      </w:r>
    </w:p>
    <w:p w14:paraId="2CE56A0A" w14:textId="0E07CFD4" w:rsidR="00394468" w:rsidRPr="00156F48" w:rsidRDefault="00394468" w:rsidP="00156F48">
      <w:pPr>
        <w:ind w:firstLine="567"/>
        <w:jc w:val="both"/>
        <w:rPr>
          <w:rFonts w:ascii="Garamond" w:hAnsi="Garamond" w:cs="Arial"/>
          <w:i/>
          <w:iCs/>
          <w:color w:val="000000"/>
        </w:rPr>
      </w:pPr>
      <w:proofErr w:type="spellStart"/>
      <w:r w:rsidRPr="00156F48">
        <w:rPr>
          <w:rFonts w:ascii="Garamond" w:hAnsi="Garamond" w:cs="Arial"/>
          <w:color w:val="000000"/>
        </w:rPr>
        <w:t>Teniendo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cuenta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alcance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derecho a la </w:t>
      </w:r>
      <w:proofErr w:type="spellStart"/>
      <w:r w:rsidRPr="00156F48">
        <w:rPr>
          <w:rFonts w:ascii="Garamond" w:hAnsi="Garamond" w:cs="Arial"/>
          <w:color w:val="000000"/>
        </w:rPr>
        <w:t>estabilidad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laboral</w:t>
      </w:r>
      <w:proofErr w:type="spellEnd"/>
      <w:r w:rsidRPr="00156F48">
        <w:rPr>
          <w:rFonts w:ascii="Garamond" w:hAnsi="Garamond" w:cs="Arial"/>
          <w:color w:val="000000"/>
        </w:rPr>
        <w:t xml:space="preserve">, el Tribunal de San José </w:t>
      </w:r>
      <w:proofErr w:type="spellStart"/>
      <w:r w:rsidRPr="00156F48">
        <w:rPr>
          <w:rFonts w:ascii="Garamond" w:hAnsi="Garamond" w:cs="Arial"/>
          <w:color w:val="000000"/>
        </w:rPr>
        <w:t>concluyó</w:t>
      </w:r>
      <w:proofErr w:type="spellEnd"/>
      <w:r w:rsidRPr="00156F48">
        <w:rPr>
          <w:rFonts w:ascii="Garamond" w:hAnsi="Garamond" w:cs="Arial"/>
          <w:color w:val="000000"/>
        </w:rPr>
        <w:t xml:space="preserve"> que los </w:t>
      </w:r>
      <w:proofErr w:type="spellStart"/>
      <w:r w:rsidRPr="00156F48">
        <w:rPr>
          <w:rFonts w:ascii="Garamond" w:hAnsi="Garamond" w:cs="Arial"/>
          <w:color w:val="000000"/>
        </w:rPr>
        <w:t>jueces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="008D40B7" w:rsidRPr="00156F48">
        <w:rPr>
          <w:rFonts w:ascii="Garamond" w:hAnsi="Garamond" w:cs="Arial"/>
          <w:color w:val="000000"/>
        </w:rPr>
        <w:t>«</w:t>
      </w:r>
      <w:r w:rsidRPr="00156F48">
        <w:rPr>
          <w:rFonts w:ascii="Garamond" w:hAnsi="Garamond" w:cs="Arial"/>
          <w:color w:val="000000"/>
        </w:rPr>
        <w:t xml:space="preserve">al </w:t>
      </w:r>
      <w:proofErr w:type="spellStart"/>
      <w:r w:rsidRPr="00156F48">
        <w:rPr>
          <w:rFonts w:ascii="Garamond" w:hAnsi="Garamond" w:cs="Arial"/>
          <w:color w:val="000000"/>
        </w:rPr>
        <w:t>desempeñar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funciones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operadores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justicia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requieren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gozar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garantías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estabilidad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laboral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condición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elemental</w:t>
      </w:r>
      <w:proofErr w:type="spellEnd"/>
      <w:r w:rsidRPr="00156F48">
        <w:rPr>
          <w:rFonts w:ascii="Garamond" w:hAnsi="Garamond" w:cs="Arial"/>
          <w:color w:val="000000"/>
        </w:rPr>
        <w:t xml:space="preserve"> de su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para el </w:t>
      </w:r>
      <w:proofErr w:type="spellStart"/>
      <w:r w:rsidRPr="00156F48">
        <w:rPr>
          <w:rFonts w:ascii="Garamond" w:hAnsi="Garamond" w:cs="Arial"/>
          <w:color w:val="000000"/>
        </w:rPr>
        <w:t>debido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cumplimiento</w:t>
      </w:r>
      <w:proofErr w:type="spellEnd"/>
      <w:r w:rsidRPr="00156F48">
        <w:rPr>
          <w:rFonts w:ascii="Garamond" w:hAnsi="Garamond" w:cs="Arial"/>
          <w:color w:val="000000"/>
        </w:rPr>
        <w:t xml:space="preserve"> de sus </w:t>
      </w:r>
      <w:proofErr w:type="spellStart"/>
      <w:proofErr w:type="gramStart"/>
      <w:r w:rsidRPr="00156F48">
        <w:rPr>
          <w:rFonts w:ascii="Garamond" w:hAnsi="Garamond" w:cs="Arial"/>
          <w:color w:val="000000"/>
        </w:rPr>
        <w:t>funciones</w:t>
      </w:r>
      <w:proofErr w:type="spellEnd"/>
      <w:r w:rsidR="00795FC4" w:rsidRPr="00156F48">
        <w:rPr>
          <w:rFonts w:ascii="Garamond" w:hAnsi="Garamond" w:cs="Arial"/>
          <w:color w:val="000000"/>
        </w:rPr>
        <w:t>»</w:t>
      </w:r>
      <w:proofErr w:type="gram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Aguinaga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Aillón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Ecuador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99</w:t>
      </w:r>
      <w:r w:rsidRPr="00156F48">
        <w:rPr>
          <w:rFonts w:ascii="Garamond" w:hAnsi="Garamond" w:cs="Arial"/>
          <w:i/>
          <w:iCs/>
          <w:color w:val="000000"/>
        </w:rPr>
        <w:t>).</w:t>
      </w:r>
    </w:p>
    <w:p w14:paraId="450D4CB7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r w:rsidRPr="00156F48">
        <w:rPr>
          <w:rFonts w:ascii="Garamond" w:hAnsi="Garamond" w:cs="Arial"/>
          <w:color w:val="000000"/>
        </w:rPr>
        <w:t xml:space="preserve">Sin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, es </w:t>
      </w:r>
      <w:proofErr w:type="spellStart"/>
      <w:r w:rsidRPr="00156F48">
        <w:rPr>
          <w:rFonts w:ascii="Garamond" w:hAnsi="Garamond" w:cs="Arial"/>
          <w:color w:val="000000"/>
        </w:rPr>
        <w:t>imposible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lograr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efectiva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protección</w:t>
      </w:r>
      <w:proofErr w:type="spellEnd"/>
      <w:r w:rsidRPr="00156F48">
        <w:rPr>
          <w:rFonts w:ascii="Garamond" w:hAnsi="Garamond" w:cs="Arial"/>
          <w:color w:val="000000"/>
        </w:rPr>
        <w:t xml:space="preserve"> de los derechos </w:t>
      </w:r>
      <w:proofErr w:type="spellStart"/>
      <w:r w:rsidRPr="00156F48">
        <w:rPr>
          <w:rFonts w:ascii="Garamond" w:hAnsi="Garamond" w:cs="Arial"/>
          <w:color w:val="000000"/>
        </w:rPr>
        <w:t>humanos</w:t>
      </w:r>
      <w:proofErr w:type="spellEnd"/>
      <w:r w:rsidRPr="00156F48">
        <w:rPr>
          <w:rFonts w:ascii="Garamond" w:hAnsi="Garamond" w:cs="Arial"/>
          <w:color w:val="000000"/>
        </w:rPr>
        <w:t xml:space="preserve">. De </w:t>
      </w:r>
      <w:proofErr w:type="spellStart"/>
      <w:r w:rsidRPr="00156F48">
        <w:rPr>
          <w:rFonts w:ascii="Garamond" w:hAnsi="Garamond" w:cs="Arial"/>
          <w:color w:val="000000"/>
        </w:rPr>
        <w:t>ahí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relevancia</w:t>
      </w:r>
      <w:proofErr w:type="spellEnd"/>
      <w:r w:rsidRPr="00156F48">
        <w:rPr>
          <w:rFonts w:ascii="Garamond" w:hAnsi="Garamond" w:cs="Arial"/>
          <w:color w:val="000000"/>
        </w:rPr>
        <w:t xml:space="preserve"> de que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no </w:t>
      </w:r>
      <w:proofErr w:type="spellStart"/>
      <w:r w:rsidRPr="00156F48">
        <w:rPr>
          <w:rFonts w:ascii="Garamond" w:hAnsi="Garamond" w:cs="Arial"/>
          <w:color w:val="000000"/>
        </w:rPr>
        <w:t>sólo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deban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garantizar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una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apariencia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lastRenderedPageBreak/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respete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legitimidad</w:t>
      </w:r>
      <w:proofErr w:type="spellEnd"/>
      <w:r w:rsidRPr="00156F48">
        <w:rPr>
          <w:rFonts w:ascii="Garamond" w:hAnsi="Garamond" w:cs="Arial"/>
          <w:color w:val="000000"/>
        </w:rPr>
        <w:t xml:space="preserve"> e inspire </w:t>
      </w:r>
      <w:proofErr w:type="spellStart"/>
      <w:r w:rsidRPr="00156F48">
        <w:rPr>
          <w:rFonts w:ascii="Garamond" w:hAnsi="Garamond" w:cs="Arial"/>
          <w:color w:val="000000"/>
        </w:rPr>
        <w:t>confianza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quien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accede</w:t>
      </w:r>
      <w:proofErr w:type="spellEnd"/>
      <w:r w:rsidRPr="00156F48">
        <w:rPr>
          <w:rFonts w:ascii="Garamond" w:hAnsi="Garamond" w:cs="Arial"/>
          <w:color w:val="000000"/>
        </w:rPr>
        <w:t xml:space="preserve"> al </w:t>
      </w:r>
      <w:proofErr w:type="spellStart"/>
      <w:r w:rsidRPr="00156F48">
        <w:rPr>
          <w:rFonts w:ascii="Garamond" w:hAnsi="Garamond" w:cs="Arial"/>
          <w:color w:val="000000"/>
        </w:rPr>
        <w:t>sistema</w:t>
      </w:r>
      <w:proofErr w:type="spellEnd"/>
      <w:r w:rsidRPr="00156F48">
        <w:rPr>
          <w:rFonts w:ascii="Garamond" w:hAnsi="Garamond" w:cs="Arial"/>
          <w:color w:val="000000"/>
        </w:rPr>
        <w:t xml:space="preserve">, sino </w:t>
      </w:r>
      <w:proofErr w:type="spellStart"/>
      <w:r w:rsidRPr="00156F48">
        <w:rPr>
          <w:rFonts w:ascii="Garamond" w:hAnsi="Garamond" w:cs="Arial"/>
          <w:color w:val="000000"/>
        </w:rPr>
        <w:t>también</w:t>
      </w:r>
      <w:proofErr w:type="spellEnd"/>
      <w:r w:rsidRPr="00156F48">
        <w:rPr>
          <w:rFonts w:ascii="Garamond" w:hAnsi="Garamond" w:cs="Arial"/>
          <w:color w:val="000000"/>
        </w:rPr>
        <w:t xml:space="preserve"> al resto de la </w:t>
      </w:r>
      <w:proofErr w:type="spellStart"/>
      <w:r w:rsidRPr="00156F48">
        <w:rPr>
          <w:rFonts w:ascii="Garamond" w:hAnsi="Garamond" w:cs="Arial"/>
          <w:color w:val="000000"/>
        </w:rPr>
        <w:t>comunidad</w:t>
      </w:r>
      <w:proofErr w:type="spell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Reverón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Trujillo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>. 67).</w:t>
      </w:r>
    </w:p>
    <w:p w14:paraId="31C79D26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este </w:t>
      </w:r>
      <w:proofErr w:type="spellStart"/>
      <w:r w:rsidRPr="00156F48">
        <w:rPr>
          <w:rFonts w:ascii="Garamond" w:hAnsi="Garamond" w:cs="Arial"/>
          <w:color w:val="000000"/>
        </w:rPr>
        <w:t>motivo</w:t>
      </w:r>
      <w:proofErr w:type="spellEnd"/>
      <w:r w:rsidRPr="00156F48">
        <w:rPr>
          <w:rFonts w:ascii="Garamond" w:hAnsi="Garamond" w:cs="Arial"/>
          <w:color w:val="000000"/>
        </w:rPr>
        <w:t xml:space="preserve">, en </w:t>
      </w:r>
      <w:proofErr w:type="spellStart"/>
      <w:r w:rsidRPr="00156F48">
        <w:rPr>
          <w:rFonts w:ascii="Garamond" w:hAnsi="Garamond" w:cs="Arial"/>
          <w:color w:val="000000"/>
        </w:rPr>
        <w:t>cuanto</w:t>
      </w:r>
      <w:proofErr w:type="spellEnd"/>
      <w:r w:rsidRPr="00156F48">
        <w:rPr>
          <w:rFonts w:ascii="Garamond" w:hAnsi="Garamond" w:cs="Arial"/>
          <w:color w:val="000000"/>
        </w:rPr>
        <w:t xml:space="preserve"> a su </w:t>
      </w:r>
      <w:proofErr w:type="spellStart"/>
      <w:r w:rsidRPr="00156F48">
        <w:rPr>
          <w:rFonts w:ascii="Garamond" w:hAnsi="Garamond" w:cs="Arial"/>
          <w:color w:val="000000"/>
        </w:rPr>
        <w:t>propia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composición</w:t>
      </w:r>
      <w:proofErr w:type="spellEnd"/>
      <w:r w:rsidRPr="00156F48">
        <w:rPr>
          <w:rFonts w:ascii="Garamond" w:hAnsi="Garamond" w:cs="Arial"/>
          <w:color w:val="000000"/>
        </w:rPr>
        <w:t xml:space="preserve">, el Tribunal de San José </w:t>
      </w:r>
      <w:proofErr w:type="spellStart"/>
      <w:r w:rsidRPr="00156F48">
        <w:rPr>
          <w:rFonts w:ascii="Garamond" w:hAnsi="Garamond" w:cs="Arial"/>
          <w:color w:val="000000"/>
        </w:rPr>
        <w:t>determinó</w:t>
      </w:r>
      <w:proofErr w:type="spellEnd"/>
      <w:r w:rsidRPr="00156F48">
        <w:rPr>
          <w:rFonts w:ascii="Garamond" w:hAnsi="Garamond" w:cs="Arial"/>
          <w:color w:val="000000"/>
        </w:rPr>
        <w:t xml:space="preserve"> en la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Opinión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Consultiva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OC-20/09</w:t>
      </w:r>
      <w:r w:rsidRPr="00156F48">
        <w:rPr>
          <w:rFonts w:ascii="Garamond" w:hAnsi="Garamond" w:cs="Arial"/>
          <w:color w:val="000000"/>
        </w:rPr>
        <w:t xml:space="preserve"> que, en el </w:t>
      </w:r>
      <w:proofErr w:type="spellStart"/>
      <w:r w:rsidRPr="00156F48">
        <w:rPr>
          <w:rFonts w:ascii="Garamond" w:hAnsi="Garamond" w:cs="Arial"/>
          <w:color w:val="000000"/>
        </w:rPr>
        <w:t>contexto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casos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contenciosos</w:t>
      </w:r>
      <w:proofErr w:type="spellEnd"/>
      <w:r w:rsidRPr="00156F48">
        <w:rPr>
          <w:rFonts w:ascii="Garamond" w:hAnsi="Garamond" w:cs="Arial"/>
          <w:color w:val="000000"/>
        </w:rPr>
        <w:t xml:space="preserve"> sobre </w:t>
      </w:r>
      <w:proofErr w:type="spellStart"/>
      <w:r w:rsidRPr="00156F48">
        <w:rPr>
          <w:rFonts w:ascii="Garamond" w:hAnsi="Garamond" w:cs="Arial"/>
          <w:color w:val="000000"/>
        </w:rPr>
        <w:t>peticiones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individuales</w:t>
      </w:r>
      <w:proofErr w:type="spellEnd"/>
      <w:r w:rsidRPr="00156F48">
        <w:rPr>
          <w:rFonts w:ascii="Garamond" w:hAnsi="Garamond" w:cs="Arial"/>
          <w:color w:val="000000"/>
        </w:rPr>
        <w:t xml:space="preserve">, el </w:t>
      </w:r>
      <w:proofErr w:type="spellStart"/>
      <w:r w:rsidRPr="00156F48">
        <w:rPr>
          <w:rFonts w:ascii="Garamond" w:hAnsi="Garamond" w:cs="Arial"/>
          <w:color w:val="000000"/>
        </w:rPr>
        <w:t>juez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nacional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demandado</w:t>
      </w:r>
      <w:proofErr w:type="spellEnd"/>
      <w:r w:rsidRPr="00156F48">
        <w:rPr>
          <w:rFonts w:ascii="Garamond" w:hAnsi="Garamond" w:cs="Arial"/>
          <w:color w:val="000000"/>
        </w:rPr>
        <w:t xml:space="preserve"> no </w:t>
      </w:r>
      <w:proofErr w:type="spellStart"/>
      <w:r w:rsidRPr="00156F48">
        <w:rPr>
          <w:rFonts w:ascii="Garamond" w:hAnsi="Garamond" w:cs="Arial"/>
          <w:color w:val="000000"/>
        </w:rPr>
        <w:t>puede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conocer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controversia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virtud</w:t>
      </w:r>
      <w:proofErr w:type="spellEnd"/>
      <w:r w:rsidRPr="00156F48">
        <w:rPr>
          <w:rFonts w:ascii="Garamond" w:hAnsi="Garamond" w:cs="Arial"/>
          <w:color w:val="000000"/>
        </w:rPr>
        <w:t xml:space="preserve"> de que la </w:t>
      </w:r>
      <w:proofErr w:type="spellStart"/>
      <w:r w:rsidRPr="00156F48">
        <w:rPr>
          <w:rFonts w:ascii="Garamond" w:hAnsi="Garamond" w:cs="Arial"/>
          <w:color w:val="000000"/>
        </w:rPr>
        <w:t>nacionalidad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representa</w:t>
      </w:r>
      <w:proofErr w:type="spellEnd"/>
      <w:r w:rsidRPr="00156F48">
        <w:rPr>
          <w:rFonts w:ascii="Garamond" w:hAnsi="Garamond" w:cs="Arial"/>
          <w:color w:val="000000"/>
        </w:rPr>
        <w:t xml:space="preserve"> un </w:t>
      </w:r>
      <w:proofErr w:type="spellStart"/>
      <w:r w:rsidRPr="00156F48">
        <w:rPr>
          <w:rFonts w:ascii="Garamond" w:hAnsi="Garamond" w:cs="Arial"/>
          <w:color w:val="000000"/>
        </w:rPr>
        <w:t>vínculo</w:t>
      </w:r>
      <w:proofErr w:type="spellEnd"/>
      <w:r w:rsidRPr="00156F48">
        <w:rPr>
          <w:rFonts w:ascii="Garamond" w:hAnsi="Garamond" w:cs="Arial"/>
          <w:color w:val="000000"/>
        </w:rPr>
        <w:t xml:space="preserve"> importante con el </w:t>
      </w:r>
      <w:proofErr w:type="spellStart"/>
      <w:r w:rsidRPr="00156F48">
        <w:rPr>
          <w:rFonts w:ascii="Garamond" w:hAnsi="Garamond" w:cs="Arial"/>
          <w:color w:val="000000"/>
        </w:rPr>
        <w:t>Estado</w:t>
      </w:r>
      <w:proofErr w:type="spellEnd"/>
      <w:r w:rsidRPr="00156F48">
        <w:rPr>
          <w:rFonts w:ascii="Garamond" w:hAnsi="Garamond" w:cs="Arial"/>
          <w:color w:val="000000"/>
        </w:rPr>
        <w:t xml:space="preserve"> y,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tanto, la </w:t>
      </w:r>
      <w:proofErr w:type="spellStart"/>
      <w:r w:rsidRPr="00156F48">
        <w:rPr>
          <w:rFonts w:ascii="Garamond" w:hAnsi="Garamond" w:cs="Arial"/>
          <w:color w:val="000000"/>
        </w:rPr>
        <w:t>imparcialidad</w:t>
      </w:r>
      <w:proofErr w:type="spellEnd"/>
      <w:r w:rsidRPr="00156F48">
        <w:rPr>
          <w:rFonts w:ascii="Garamond" w:hAnsi="Garamond" w:cs="Arial"/>
          <w:color w:val="000000"/>
        </w:rPr>
        <w:t xml:space="preserve"> e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juzgador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pueden</w:t>
      </w:r>
      <w:proofErr w:type="spellEnd"/>
      <w:r w:rsidRPr="00156F48">
        <w:rPr>
          <w:rFonts w:ascii="Garamond" w:hAnsi="Garamond" w:cs="Arial"/>
          <w:color w:val="000000"/>
        </w:rPr>
        <w:t xml:space="preserve"> verse </w:t>
      </w:r>
      <w:proofErr w:type="spellStart"/>
      <w:r w:rsidRPr="00156F48">
        <w:rPr>
          <w:rFonts w:ascii="Garamond" w:hAnsi="Garamond" w:cs="Arial"/>
          <w:color w:val="000000"/>
        </w:rPr>
        <w:t>gravemente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comprometidas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spellStart"/>
      <w:r w:rsidRPr="00156F48">
        <w:rPr>
          <w:rFonts w:ascii="Garamond" w:hAnsi="Garamond" w:cs="Arial"/>
          <w:color w:val="000000"/>
        </w:rPr>
        <w:t>Asimismo</w:t>
      </w:r>
      <w:proofErr w:type="spellEnd"/>
      <w:r w:rsidRPr="00156F48">
        <w:rPr>
          <w:rFonts w:ascii="Garamond" w:hAnsi="Garamond" w:cs="Arial"/>
          <w:color w:val="000000"/>
        </w:rPr>
        <w:t xml:space="preserve">, la Corte </w:t>
      </w:r>
      <w:proofErr w:type="spellStart"/>
      <w:r w:rsidRPr="00156F48">
        <w:rPr>
          <w:rFonts w:ascii="Garamond" w:hAnsi="Garamond" w:cs="Arial"/>
          <w:color w:val="000000"/>
        </w:rPr>
        <w:t>hizo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hincapié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oportunidad</w:t>
      </w:r>
      <w:proofErr w:type="spellEnd"/>
      <w:r w:rsidRPr="00156F48">
        <w:rPr>
          <w:rFonts w:ascii="Garamond" w:hAnsi="Garamond" w:cs="Arial"/>
          <w:color w:val="000000"/>
        </w:rPr>
        <w:t xml:space="preserve"> en que la figura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juez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r w:rsidRPr="00156F48">
        <w:rPr>
          <w:rFonts w:ascii="Garamond" w:hAnsi="Garamond" w:cs="Arial"/>
          <w:i/>
          <w:iCs/>
          <w:color w:val="000000"/>
        </w:rPr>
        <w:t>ad hoc</w:t>
      </w:r>
      <w:r w:rsidRPr="00156F48">
        <w:rPr>
          <w:rFonts w:ascii="Garamond" w:hAnsi="Garamond" w:cs="Arial"/>
          <w:color w:val="000000"/>
        </w:rPr>
        <w:t xml:space="preserve"> se </w:t>
      </w:r>
      <w:proofErr w:type="spellStart"/>
      <w:r w:rsidRPr="00156F48">
        <w:rPr>
          <w:rFonts w:ascii="Garamond" w:hAnsi="Garamond" w:cs="Arial"/>
          <w:color w:val="000000"/>
        </w:rPr>
        <w:t>encuentra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limitada</w:t>
      </w:r>
      <w:proofErr w:type="spellEnd"/>
      <w:r w:rsidRPr="00156F48">
        <w:rPr>
          <w:rFonts w:ascii="Garamond" w:hAnsi="Garamond" w:cs="Arial"/>
          <w:color w:val="000000"/>
        </w:rPr>
        <w:t xml:space="preserve"> a las </w:t>
      </w:r>
      <w:proofErr w:type="spellStart"/>
      <w:r w:rsidRPr="00156F48">
        <w:rPr>
          <w:rFonts w:ascii="Garamond" w:hAnsi="Garamond" w:cs="Arial"/>
          <w:color w:val="000000"/>
        </w:rPr>
        <w:t>comunicaciones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interestatales</w:t>
      </w:r>
      <w:proofErr w:type="spell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Opinión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Consultiva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OC-20/09</w:t>
      </w:r>
      <w:r w:rsidRPr="00156F48">
        <w:rPr>
          <w:rFonts w:ascii="Garamond" w:hAnsi="Garamond" w:cs="Arial"/>
          <w:color w:val="000000"/>
        </w:rPr>
        <w:t xml:space="preserve"> de 29 de </w:t>
      </w:r>
      <w:proofErr w:type="spellStart"/>
      <w:r w:rsidRPr="00156F48">
        <w:rPr>
          <w:rFonts w:ascii="Garamond" w:hAnsi="Garamond" w:cs="Arial"/>
          <w:color w:val="000000"/>
        </w:rPr>
        <w:t>septiembre</w:t>
      </w:r>
      <w:proofErr w:type="spellEnd"/>
      <w:r w:rsidRPr="00156F48">
        <w:rPr>
          <w:rFonts w:ascii="Garamond" w:hAnsi="Garamond" w:cs="Arial"/>
          <w:color w:val="000000"/>
        </w:rPr>
        <w:t xml:space="preserve"> de 2009,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>. 70 y 87).</w:t>
      </w:r>
    </w:p>
    <w:p w14:paraId="47F69D52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</w:rPr>
      </w:pP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otra</w:t>
      </w:r>
      <w:proofErr w:type="spellEnd"/>
      <w:r w:rsidRPr="00156F48">
        <w:rPr>
          <w:rFonts w:ascii="Garamond" w:hAnsi="Garamond" w:cs="Arial"/>
          <w:color w:val="000000"/>
        </w:rPr>
        <w:t xml:space="preserve"> parte, en lo que respecta </w:t>
      </w:r>
      <w:r w:rsidRPr="00156F48">
        <w:rPr>
          <w:rFonts w:ascii="Garamond" w:hAnsi="Garamond" w:cs="Arial"/>
        </w:rPr>
        <w:t xml:space="preserve">al </w:t>
      </w:r>
      <w:proofErr w:type="spellStart"/>
      <w:r w:rsidRPr="00156F48">
        <w:rPr>
          <w:rFonts w:ascii="Garamond" w:hAnsi="Garamond" w:cs="Arial"/>
        </w:rPr>
        <w:t>ámbito</w:t>
      </w:r>
      <w:proofErr w:type="spellEnd"/>
      <w:r w:rsidRPr="00156F48">
        <w:rPr>
          <w:rFonts w:ascii="Garamond" w:hAnsi="Garamond" w:cs="Arial"/>
        </w:rPr>
        <w:t xml:space="preserve"> castrense la Corte ha </w:t>
      </w:r>
      <w:proofErr w:type="spellStart"/>
      <w:r w:rsidRPr="00156F48">
        <w:rPr>
          <w:rFonts w:ascii="Garamond" w:hAnsi="Garamond" w:cs="Arial"/>
        </w:rPr>
        <w:t>sido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enfática</w:t>
      </w:r>
      <w:proofErr w:type="spellEnd"/>
      <w:r w:rsidRPr="00156F48">
        <w:rPr>
          <w:rFonts w:ascii="Garamond" w:hAnsi="Garamond" w:cs="Arial"/>
        </w:rPr>
        <w:t xml:space="preserve"> en </w:t>
      </w:r>
      <w:proofErr w:type="spellStart"/>
      <w:r w:rsidRPr="00156F48">
        <w:rPr>
          <w:rFonts w:ascii="Garamond" w:hAnsi="Garamond" w:cs="Arial"/>
        </w:rPr>
        <w:t>establecer</w:t>
      </w:r>
      <w:proofErr w:type="spellEnd"/>
      <w:r w:rsidRPr="00156F48">
        <w:rPr>
          <w:rFonts w:ascii="Garamond" w:hAnsi="Garamond" w:cs="Arial"/>
        </w:rPr>
        <w:t xml:space="preserve"> que la </w:t>
      </w:r>
      <w:proofErr w:type="spellStart"/>
      <w:r w:rsidRPr="00156F48">
        <w:rPr>
          <w:rFonts w:ascii="Garamond" w:hAnsi="Garamond" w:cs="Arial"/>
        </w:rPr>
        <w:t>jurisdicción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penal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militar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debe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ser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restrictiva</w:t>
      </w:r>
      <w:proofErr w:type="spellEnd"/>
      <w:r w:rsidRPr="00156F48">
        <w:rPr>
          <w:rFonts w:ascii="Garamond" w:hAnsi="Garamond" w:cs="Arial"/>
        </w:rPr>
        <w:t xml:space="preserve"> y </w:t>
      </w:r>
      <w:proofErr w:type="spellStart"/>
      <w:r w:rsidRPr="00156F48">
        <w:rPr>
          <w:rFonts w:ascii="Garamond" w:hAnsi="Garamond" w:cs="Arial"/>
        </w:rPr>
        <w:t>excepcional</w:t>
      </w:r>
      <w:proofErr w:type="spellEnd"/>
      <w:r w:rsidRPr="00156F48">
        <w:rPr>
          <w:rFonts w:ascii="Garamond" w:hAnsi="Garamond" w:cs="Arial"/>
        </w:rPr>
        <w:t xml:space="preserve"> en </w:t>
      </w:r>
      <w:proofErr w:type="spellStart"/>
      <w:r w:rsidRPr="00156F48">
        <w:rPr>
          <w:rFonts w:ascii="Garamond" w:hAnsi="Garamond" w:cs="Arial"/>
        </w:rPr>
        <w:t>cuanto</w:t>
      </w:r>
      <w:proofErr w:type="spellEnd"/>
      <w:r w:rsidRPr="00156F48">
        <w:rPr>
          <w:rFonts w:ascii="Garamond" w:hAnsi="Garamond" w:cs="Arial"/>
        </w:rPr>
        <w:t xml:space="preserve"> a su </w:t>
      </w:r>
      <w:proofErr w:type="spellStart"/>
      <w:r w:rsidRPr="00156F48">
        <w:rPr>
          <w:rFonts w:ascii="Garamond" w:hAnsi="Garamond" w:cs="Arial"/>
        </w:rPr>
        <w:t>competencia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material</w:t>
      </w:r>
      <w:proofErr w:type="spellEnd"/>
      <w:r w:rsidRPr="00156F48">
        <w:rPr>
          <w:rFonts w:ascii="Garamond" w:hAnsi="Garamond" w:cs="Arial"/>
        </w:rPr>
        <w:t xml:space="preserve"> y </w:t>
      </w:r>
      <w:proofErr w:type="spellStart"/>
      <w:r w:rsidRPr="00156F48">
        <w:rPr>
          <w:rFonts w:ascii="Garamond" w:hAnsi="Garamond" w:cs="Arial"/>
        </w:rPr>
        <w:t>personal</w:t>
      </w:r>
      <w:proofErr w:type="spellEnd"/>
      <w:r w:rsidRPr="00156F48">
        <w:rPr>
          <w:rFonts w:ascii="Garamond" w:hAnsi="Garamond" w:cs="Arial"/>
        </w:rPr>
        <w:t xml:space="preserve">, </w:t>
      </w:r>
      <w:proofErr w:type="spellStart"/>
      <w:r w:rsidRPr="00156F48">
        <w:rPr>
          <w:rFonts w:ascii="Garamond" w:hAnsi="Garamond" w:cs="Arial"/>
        </w:rPr>
        <w:t>aplicándose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sólo</w:t>
      </w:r>
      <w:proofErr w:type="spellEnd"/>
      <w:r w:rsidRPr="00156F48">
        <w:rPr>
          <w:rFonts w:ascii="Garamond" w:hAnsi="Garamond" w:cs="Arial"/>
        </w:rPr>
        <w:t xml:space="preserve"> a </w:t>
      </w:r>
      <w:proofErr w:type="spellStart"/>
      <w:r w:rsidRPr="00156F48">
        <w:rPr>
          <w:rFonts w:ascii="Garamond" w:hAnsi="Garamond" w:cs="Arial"/>
        </w:rPr>
        <w:t>delitos</w:t>
      </w:r>
      <w:proofErr w:type="spellEnd"/>
      <w:r w:rsidRPr="00156F48">
        <w:rPr>
          <w:rFonts w:ascii="Garamond" w:hAnsi="Garamond" w:cs="Arial"/>
        </w:rPr>
        <w:t xml:space="preserve"> que </w:t>
      </w:r>
      <w:proofErr w:type="spellStart"/>
      <w:r w:rsidRPr="00156F48">
        <w:rPr>
          <w:rFonts w:ascii="Garamond" w:hAnsi="Garamond" w:cs="Arial"/>
        </w:rPr>
        <w:t>afecten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bienes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jurídicos</w:t>
      </w:r>
      <w:proofErr w:type="spellEnd"/>
      <w:r w:rsidRPr="00156F48">
        <w:rPr>
          <w:rFonts w:ascii="Garamond" w:hAnsi="Garamond" w:cs="Arial"/>
        </w:rPr>
        <w:t xml:space="preserve"> castrenses y que </w:t>
      </w:r>
      <w:proofErr w:type="spellStart"/>
      <w:r w:rsidRPr="00156F48">
        <w:rPr>
          <w:rFonts w:ascii="Garamond" w:hAnsi="Garamond" w:cs="Arial"/>
        </w:rPr>
        <w:t>sean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cometidos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por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militares</w:t>
      </w:r>
      <w:proofErr w:type="spellEnd"/>
      <w:r w:rsidRPr="00156F48">
        <w:rPr>
          <w:rFonts w:ascii="Garamond" w:hAnsi="Garamond" w:cs="Arial"/>
        </w:rPr>
        <w:t xml:space="preserve"> en </w:t>
      </w:r>
      <w:proofErr w:type="spellStart"/>
      <w:r w:rsidRPr="00156F48">
        <w:rPr>
          <w:rFonts w:ascii="Garamond" w:hAnsi="Garamond" w:cs="Arial"/>
        </w:rPr>
        <w:t>activo</w:t>
      </w:r>
      <w:proofErr w:type="spellEnd"/>
      <w:r w:rsidRPr="00156F48">
        <w:rPr>
          <w:rFonts w:ascii="Garamond" w:hAnsi="Garamond" w:cs="Arial"/>
        </w:rPr>
        <w:t xml:space="preserve"> y en </w:t>
      </w:r>
      <w:proofErr w:type="spellStart"/>
      <w:r w:rsidRPr="00156F48">
        <w:rPr>
          <w:rFonts w:ascii="Garamond" w:hAnsi="Garamond" w:cs="Arial"/>
        </w:rPr>
        <w:t>ejercicio</w:t>
      </w:r>
      <w:proofErr w:type="spellEnd"/>
      <w:r w:rsidRPr="00156F48">
        <w:rPr>
          <w:rFonts w:ascii="Garamond" w:hAnsi="Garamond" w:cs="Arial"/>
        </w:rPr>
        <w:t xml:space="preserve"> de sus </w:t>
      </w:r>
      <w:proofErr w:type="spellStart"/>
      <w:r w:rsidRPr="00156F48">
        <w:rPr>
          <w:rFonts w:ascii="Garamond" w:hAnsi="Garamond" w:cs="Arial"/>
        </w:rPr>
        <w:t>funciones</w:t>
      </w:r>
      <w:proofErr w:type="spellEnd"/>
      <w:r w:rsidRPr="00156F48">
        <w:rPr>
          <w:rFonts w:ascii="Garamond" w:hAnsi="Garamond" w:cs="Arial"/>
        </w:rPr>
        <w:t xml:space="preserve">. En </w:t>
      </w:r>
      <w:proofErr w:type="spellStart"/>
      <w:r w:rsidRPr="00156F48">
        <w:rPr>
          <w:rFonts w:ascii="Garamond" w:hAnsi="Garamond" w:cs="Arial"/>
        </w:rPr>
        <w:t>criterio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del</w:t>
      </w:r>
      <w:proofErr w:type="spellEnd"/>
      <w:r w:rsidRPr="00156F48">
        <w:rPr>
          <w:rFonts w:ascii="Garamond" w:hAnsi="Garamond" w:cs="Arial"/>
        </w:rPr>
        <w:t xml:space="preserve"> Tribunal, los </w:t>
      </w:r>
      <w:proofErr w:type="spellStart"/>
      <w:r w:rsidRPr="00156F48">
        <w:rPr>
          <w:rFonts w:ascii="Garamond" w:hAnsi="Garamond" w:cs="Arial"/>
        </w:rPr>
        <w:t>autores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violaciones</w:t>
      </w:r>
      <w:proofErr w:type="spellEnd"/>
      <w:r w:rsidRPr="00156F48">
        <w:rPr>
          <w:rFonts w:ascii="Garamond" w:hAnsi="Garamond" w:cs="Arial"/>
        </w:rPr>
        <w:t xml:space="preserve"> de derechos </w:t>
      </w:r>
      <w:proofErr w:type="spellStart"/>
      <w:r w:rsidRPr="00156F48">
        <w:rPr>
          <w:rFonts w:ascii="Garamond" w:hAnsi="Garamond" w:cs="Arial"/>
        </w:rPr>
        <w:t>humanos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siempre</w:t>
      </w:r>
      <w:proofErr w:type="spellEnd"/>
      <w:r w:rsidRPr="00156F48">
        <w:rPr>
          <w:rFonts w:ascii="Garamond" w:hAnsi="Garamond" w:cs="Arial"/>
        </w:rPr>
        <w:t xml:space="preserve"> deben </w:t>
      </w:r>
      <w:proofErr w:type="spellStart"/>
      <w:r w:rsidRPr="00156F48">
        <w:rPr>
          <w:rFonts w:ascii="Garamond" w:hAnsi="Garamond" w:cs="Arial"/>
        </w:rPr>
        <w:t>ser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juzgados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bajo</w:t>
      </w:r>
      <w:proofErr w:type="spellEnd"/>
      <w:r w:rsidRPr="00156F48">
        <w:rPr>
          <w:rFonts w:ascii="Garamond" w:hAnsi="Garamond" w:cs="Arial"/>
        </w:rPr>
        <w:t xml:space="preserve"> la </w:t>
      </w:r>
      <w:proofErr w:type="spellStart"/>
      <w:r w:rsidRPr="00156F48">
        <w:rPr>
          <w:rFonts w:ascii="Garamond" w:hAnsi="Garamond" w:cs="Arial"/>
        </w:rPr>
        <w:t>justicia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ordinaria</w:t>
      </w:r>
      <w:proofErr w:type="spellEnd"/>
      <w:r w:rsidRPr="00156F48">
        <w:rPr>
          <w:rFonts w:ascii="Garamond" w:hAnsi="Garamond" w:cs="Arial"/>
        </w:rPr>
        <w:t xml:space="preserve"> y no conforme </w:t>
      </w:r>
      <w:proofErr w:type="spellStart"/>
      <w:r w:rsidRPr="00156F48">
        <w:rPr>
          <w:rFonts w:ascii="Garamond" w:hAnsi="Garamond" w:cs="Arial"/>
        </w:rPr>
        <w:t>a</w:t>
      </w:r>
      <w:proofErr w:type="spellEnd"/>
      <w:r w:rsidRPr="00156F48">
        <w:rPr>
          <w:rFonts w:ascii="Garamond" w:hAnsi="Garamond" w:cs="Arial"/>
        </w:rPr>
        <w:t xml:space="preserve"> la </w:t>
      </w:r>
      <w:proofErr w:type="spellStart"/>
      <w:r w:rsidRPr="00156F48">
        <w:rPr>
          <w:rFonts w:ascii="Garamond" w:hAnsi="Garamond" w:cs="Arial"/>
        </w:rPr>
        <w:t>jurisdicción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militar</w:t>
      </w:r>
      <w:proofErr w:type="spellEnd"/>
      <w:r w:rsidRPr="00156F48">
        <w:rPr>
          <w:rFonts w:ascii="Garamond" w:hAnsi="Garamond" w:cs="Arial"/>
        </w:rPr>
        <w:t xml:space="preserve"> porque, de lo contrario, se </w:t>
      </w:r>
      <w:proofErr w:type="spellStart"/>
      <w:r w:rsidRPr="00156F48">
        <w:rPr>
          <w:rFonts w:ascii="Garamond" w:hAnsi="Garamond" w:cs="Arial"/>
        </w:rPr>
        <w:t>contravienen</w:t>
      </w:r>
      <w:proofErr w:type="spellEnd"/>
      <w:r w:rsidRPr="00156F48">
        <w:rPr>
          <w:rFonts w:ascii="Garamond" w:hAnsi="Garamond" w:cs="Arial"/>
        </w:rPr>
        <w:t xml:space="preserve"> las </w:t>
      </w:r>
      <w:proofErr w:type="spellStart"/>
      <w:r w:rsidRPr="00156F48">
        <w:rPr>
          <w:rFonts w:ascii="Garamond" w:hAnsi="Garamond" w:cs="Arial"/>
        </w:rPr>
        <w:t>garantías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independencia</w:t>
      </w:r>
      <w:proofErr w:type="spellEnd"/>
      <w:r w:rsidRPr="00156F48">
        <w:rPr>
          <w:rFonts w:ascii="Garamond" w:hAnsi="Garamond" w:cs="Arial"/>
        </w:rPr>
        <w:t xml:space="preserve"> e </w:t>
      </w:r>
      <w:proofErr w:type="spellStart"/>
      <w:r w:rsidRPr="00156F48">
        <w:rPr>
          <w:rFonts w:ascii="Garamond" w:hAnsi="Garamond" w:cs="Arial"/>
        </w:rPr>
        <w:t>imparcialidad</w:t>
      </w:r>
      <w:proofErr w:type="spellEnd"/>
      <w:r w:rsidRPr="00156F48">
        <w:rPr>
          <w:rFonts w:ascii="Garamond" w:hAnsi="Garamond" w:cs="Arial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</w:rPr>
        <w:t>Argüelles</w:t>
      </w:r>
      <w:proofErr w:type="spellEnd"/>
      <w:r w:rsidRPr="00156F48">
        <w:rPr>
          <w:rFonts w:ascii="Garamond" w:hAnsi="Garamond" w:cs="Arial"/>
          <w:i/>
          <w:iCs/>
        </w:rPr>
        <w:t xml:space="preserve"> y </w:t>
      </w:r>
      <w:proofErr w:type="spellStart"/>
      <w:r w:rsidRPr="00156F48">
        <w:rPr>
          <w:rFonts w:ascii="Garamond" w:hAnsi="Garamond" w:cs="Arial"/>
          <w:i/>
          <w:iCs/>
        </w:rPr>
        <w:t>otros</w:t>
      </w:r>
      <w:proofErr w:type="spellEnd"/>
      <w:r w:rsidRPr="00156F48">
        <w:rPr>
          <w:rFonts w:ascii="Garamond" w:hAnsi="Garamond" w:cs="Arial"/>
          <w:i/>
          <w:iCs/>
        </w:rPr>
        <w:t xml:space="preserve"> vs Argentina</w:t>
      </w:r>
      <w:r w:rsidRPr="00156F48">
        <w:rPr>
          <w:rFonts w:ascii="Garamond" w:hAnsi="Garamond" w:cs="Arial"/>
        </w:rPr>
        <w:t xml:space="preserve">, sentencia de 20 de </w:t>
      </w:r>
      <w:proofErr w:type="spellStart"/>
      <w:r w:rsidRPr="00156F48">
        <w:rPr>
          <w:rFonts w:ascii="Garamond" w:hAnsi="Garamond" w:cs="Arial"/>
        </w:rPr>
        <w:t>noviembre</w:t>
      </w:r>
      <w:proofErr w:type="spellEnd"/>
      <w:r w:rsidRPr="00156F48">
        <w:rPr>
          <w:rFonts w:ascii="Garamond" w:hAnsi="Garamond" w:cs="Arial"/>
        </w:rPr>
        <w:t xml:space="preserve"> de 2014, </w:t>
      </w:r>
      <w:proofErr w:type="spellStart"/>
      <w:r w:rsidRPr="00156F48">
        <w:rPr>
          <w:rFonts w:ascii="Garamond" w:hAnsi="Garamond" w:cs="Arial"/>
        </w:rPr>
        <w:t>párr</w:t>
      </w:r>
      <w:proofErr w:type="spellEnd"/>
      <w:r w:rsidRPr="00156F48">
        <w:rPr>
          <w:rFonts w:ascii="Garamond" w:hAnsi="Garamond" w:cs="Arial"/>
        </w:rPr>
        <w:t>. 148).</w:t>
      </w:r>
    </w:p>
    <w:p w14:paraId="662AD554" w14:textId="77777777" w:rsidR="00394468" w:rsidRPr="00156F48" w:rsidRDefault="00394468" w:rsidP="00156F48">
      <w:pPr>
        <w:ind w:firstLine="567"/>
        <w:jc w:val="both"/>
        <w:rPr>
          <w:rFonts w:ascii="Garamond" w:hAnsi="Garamond" w:cs="Arial"/>
        </w:rPr>
      </w:pPr>
      <w:r w:rsidRPr="00156F48">
        <w:rPr>
          <w:rFonts w:ascii="Garamond" w:hAnsi="Garamond" w:cs="Arial"/>
        </w:rPr>
        <w:t xml:space="preserve">Al </w:t>
      </w:r>
      <w:proofErr w:type="spellStart"/>
      <w:r w:rsidRPr="00156F48">
        <w:rPr>
          <w:rFonts w:ascii="Garamond" w:hAnsi="Garamond" w:cs="Arial"/>
        </w:rPr>
        <w:t>respecto</w:t>
      </w:r>
      <w:proofErr w:type="spellEnd"/>
      <w:r w:rsidRPr="00156F48">
        <w:rPr>
          <w:rFonts w:ascii="Garamond" w:hAnsi="Garamond" w:cs="Arial"/>
        </w:rPr>
        <w:t xml:space="preserve">, la </w:t>
      </w:r>
      <w:proofErr w:type="spellStart"/>
      <w:r w:rsidRPr="00156F48">
        <w:rPr>
          <w:rFonts w:ascii="Garamond" w:hAnsi="Garamond" w:cs="Arial"/>
        </w:rPr>
        <w:t>CorteIDH</w:t>
      </w:r>
      <w:proofErr w:type="spellEnd"/>
      <w:r w:rsidRPr="00156F48">
        <w:rPr>
          <w:rFonts w:ascii="Garamond" w:hAnsi="Garamond" w:cs="Arial"/>
        </w:rPr>
        <w:t xml:space="preserve"> ha </w:t>
      </w:r>
      <w:proofErr w:type="spellStart"/>
      <w:r w:rsidRPr="00156F48">
        <w:rPr>
          <w:rFonts w:ascii="Garamond" w:hAnsi="Garamond" w:cs="Arial"/>
        </w:rPr>
        <w:t>sostenido</w:t>
      </w:r>
      <w:proofErr w:type="spellEnd"/>
      <w:r w:rsidRPr="00156F48">
        <w:rPr>
          <w:rFonts w:ascii="Garamond" w:hAnsi="Garamond" w:cs="Arial"/>
        </w:rPr>
        <w:t xml:space="preserve"> que los </w:t>
      </w:r>
      <w:proofErr w:type="spellStart"/>
      <w:r w:rsidRPr="00156F48">
        <w:rPr>
          <w:rFonts w:ascii="Garamond" w:hAnsi="Garamond" w:cs="Arial"/>
        </w:rPr>
        <w:t>tribunales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militares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carecen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independencia</w:t>
      </w:r>
      <w:proofErr w:type="spellEnd"/>
      <w:r w:rsidRPr="00156F48">
        <w:rPr>
          <w:rFonts w:ascii="Garamond" w:hAnsi="Garamond" w:cs="Arial"/>
        </w:rPr>
        <w:t xml:space="preserve"> e </w:t>
      </w:r>
      <w:proofErr w:type="spellStart"/>
      <w:r w:rsidRPr="00156F48">
        <w:rPr>
          <w:rFonts w:ascii="Garamond" w:hAnsi="Garamond" w:cs="Arial"/>
        </w:rPr>
        <w:t>imparcialidad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cuando</w:t>
      </w:r>
      <w:proofErr w:type="spellEnd"/>
      <w:r w:rsidRPr="00156F48">
        <w:rPr>
          <w:rFonts w:ascii="Garamond" w:hAnsi="Garamond" w:cs="Arial"/>
        </w:rPr>
        <w:t xml:space="preserve"> sus </w:t>
      </w:r>
      <w:proofErr w:type="spellStart"/>
      <w:r w:rsidRPr="00156F48">
        <w:rPr>
          <w:rFonts w:ascii="Garamond" w:hAnsi="Garamond" w:cs="Arial"/>
        </w:rPr>
        <w:t>integrantes</w:t>
      </w:r>
      <w:proofErr w:type="spellEnd"/>
      <w:r w:rsidRPr="00156F48">
        <w:rPr>
          <w:rFonts w:ascii="Garamond" w:hAnsi="Garamond" w:cs="Arial"/>
        </w:rPr>
        <w:t xml:space="preserve"> a) son </w:t>
      </w:r>
      <w:proofErr w:type="spellStart"/>
      <w:r w:rsidRPr="00156F48">
        <w:rPr>
          <w:rFonts w:ascii="Garamond" w:hAnsi="Garamond" w:cs="Arial"/>
        </w:rPr>
        <w:t>militares</w:t>
      </w:r>
      <w:proofErr w:type="spellEnd"/>
      <w:r w:rsidRPr="00156F48">
        <w:rPr>
          <w:rFonts w:ascii="Garamond" w:hAnsi="Garamond" w:cs="Arial"/>
        </w:rPr>
        <w:t xml:space="preserve"> en </w:t>
      </w:r>
      <w:proofErr w:type="spellStart"/>
      <w:proofErr w:type="gramStart"/>
      <w:r w:rsidRPr="00156F48">
        <w:rPr>
          <w:rFonts w:ascii="Garamond" w:hAnsi="Garamond" w:cs="Arial"/>
        </w:rPr>
        <w:t>activo</w:t>
      </w:r>
      <w:proofErr w:type="spellEnd"/>
      <w:r w:rsidRPr="00156F48">
        <w:rPr>
          <w:rFonts w:ascii="Garamond" w:hAnsi="Garamond" w:cs="Arial"/>
        </w:rPr>
        <w:t>;</w:t>
      </w:r>
      <w:proofErr w:type="gramEnd"/>
      <w:r w:rsidRPr="00156F48">
        <w:rPr>
          <w:rFonts w:ascii="Garamond" w:hAnsi="Garamond" w:cs="Arial"/>
        </w:rPr>
        <w:t xml:space="preserve"> b) se </w:t>
      </w:r>
      <w:proofErr w:type="spellStart"/>
      <w:r w:rsidRPr="00156F48">
        <w:rPr>
          <w:rFonts w:ascii="Garamond" w:hAnsi="Garamond" w:cs="Arial"/>
        </w:rPr>
        <w:t>encuentran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subordinados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jerárquicamente</w:t>
      </w:r>
      <w:proofErr w:type="spellEnd"/>
      <w:r w:rsidRPr="00156F48">
        <w:rPr>
          <w:rFonts w:ascii="Garamond" w:hAnsi="Garamond" w:cs="Arial"/>
        </w:rPr>
        <w:t xml:space="preserve"> a los </w:t>
      </w:r>
      <w:proofErr w:type="spellStart"/>
      <w:r w:rsidRPr="00156F48">
        <w:rPr>
          <w:rFonts w:ascii="Garamond" w:hAnsi="Garamond" w:cs="Arial"/>
        </w:rPr>
        <w:t>superiores</w:t>
      </w:r>
      <w:proofErr w:type="spellEnd"/>
      <w:r w:rsidRPr="00156F48">
        <w:rPr>
          <w:rFonts w:ascii="Garamond" w:hAnsi="Garamond" w:cs="Arial"/>
        </w:rPr>
        <w:t xml:space="preserve"> a </w:t>
      </w:r>
      <w:proofErr w:type="spellStart"/>
      <w:r w:rsidRPr="00156F48">
        <w:rPr>
          <w:rFonts w:ascii="Garamond" w:hAnsi="Garamond" w:cs="Arial"/>
        </w:rPr>
        <w:t>través</w:t>
      </w:r>
      <w:proofErr w:type="spellEnd"/>
      <w:r w:rsidRPr="00156F48">
        <w:rPr>
          <w:rFonts w:ascii="Garamond" w:hAnsi="Garamond" w:cs="Arial"/>
        </w:rPr>
        <w:t xml:space="preserve"> de la </w:t>
      </w:r>
      <w:proofErr w:type="spellStart"/>
      <w:r w:rsidRPr="00156F48">
        <w:rPr>
          <w:rFonts w:ascii="Garamond" w:hAnsi="Garamond" w:cs="Arial"/>
        </w:rPr>
        <w:t>cadena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mando</w:t>
      </w:r>
      <w:proofErr w:type="spellEnd"/>
      <w:r w:rsidRPr="00156F48">
        <w:rPr>
          <w:rFonts w:ascii="Garamond" w:hAnsi="Garamond" w:cs="Arial"/>
        </w:rPr>
        <w:t xml:space="preserve">; c) su </w:t>
      </w:r>
      <w:proofErr w:type="spellStart"/>
      <w:r w:rsidRPr="00156F48">
        <w:rPr>
          <w:rFonts w:ascii="Garamond" w:hAnsi="Garamond" w:cs="Arial"/>
        </w:rPr>
        <w:t>nombramiento</w:t>
      </w:r>
      <w:proofErr w:type="spellEnd"/>
      <w:r w:rsidRPr="00156F48">
        <w:rPr>
          <w:rFonts w:ascii="Garamond" w:hAnsi="Garamond" w:cs="Arial"/>
        </w:rPr>
        <w:t xml:space="preserve"> no </w:t>
      </w:r>
      <w:proofErr w:type="spellStart"/>
      <w:r w:rsidRPr="00156F48">
        <w:rPr>
          <w:rFonts w:ascii="Garamond" w:hAnsi="Garamond" w:cs="Arial"/>
        </w:rPr>
        <w:t>depende</w:t>
      </w:r>
      <w:proofErr w:type="spellEnd"/>
      <w:r w:rsidRPr="00156F48">
        <w:rPr>
          <w:rFonts w:ascii="Garamond" w:hAnsi="Garamond" w:cs="Arial"/>
        </w:rPr>
        <w:t xml:space="preserve"> de su </w:t>
      </w:r>
      <w:proofErr w:type="spellStart"/>
      <w:r w:rsidRPr="00156F48">
        <w:rPr>
          <w:rFonts w:ascii="Garamond" w:hAnsi="Garamond" w:cs="Arial"/>
        </w:rPr>
        <w:t>competencia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profesional</w:t>
      </w:r>
      <w:proofErr w:type="spellEnd"/>
      <w:r w:rsidRPr="00156F48">
        <w:rPr>
          <w:rFonts w:ascii="Garamond" w:hAnsi="Garamond" w:cs="Arial"/>
        </w:rPr>
        <w:t xml:space="preserve"> e </w:t>
      </w:r>
      <w:proofErr w:type="spellStart"/>
      <w:r w:rsidRPr="00156F48">
        <w:rPr>
          <w:rFonts w:ascii="Garamond" w:hAnsi="Garamond" w:cs="Arial"/>
        </w:rPr>
        <w:t>idoneidad</w:t>
      </w:r>
      <w:proofErr w:type="spellEnd"/>
      <w:r w:rsidRPr="00156F48">
        <w:rPr>
          <w:rFonts w:ascii="Garamond" w:hAnsi="Garamond" w:cs="Arial"/>
        </w:rPr>
        <w:t xml:space="preserve">; d) no </w:t>
      </w:r>
      <w:proofErr w:type="spellStart"/>
      <w:r w:rsidRPr="00156F48">
        <w:rPr>
          <w:rFonts w:ascii="Garamond" w:hAnsi="Garamond" w:cs="Arial"/>
        </w:rPr>
        <w:t>cuentan</w:t>
      </w:r>
      <w:proofErr w:type="spellEnd"/>
      <w:r w:rsidRPr="00156F48">
        <w:rPr>
          <w:rFonts w:ascii="Garamond" w:hAnsi="Garamond" w:cs="Arial"/>
        </w:rPr>
        <w:t xml:space="preserve"> con </w:t>
      </w:r>
      <w:proofErr w:type="spellStart"/>
      <w:r w:rsidRPr="00156F48">
        <w:rPr>
          <w:rFonts w:ascii="Garamond" w:hAnsi="Garamond" w:cs="Arial"/>
        </w:rPr>
        <w:t>garantías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suficientes</w:t>
      </w:r>
      <w:proofErr w:type="spellEnd"/>
      <w:r w:rsidRPr="00156F48">
        <w:rPr>
          <w:rFonts w:ascii="Garamond" w:hAnsi="Garamond" w:cs="Arial"/>
        </w:rPr>
        <w:t xml:space="preserve"> de </w:t>
      </w:r>
      <w:proofErr w:type="spellStart"/>
      <w:r w:rsidRPr="00156F48">
        <w:rPr>
          <w:rFonts w:ascii="Garamond" w:hAnsi="Garamond" w:cs="Arial"/>
        </w:rPr>
        <w:t>inamovilidad</w:t>
      </w:r>
      <w:proofErr w:type="spellEnd"/>
      <w:r w:rsidRPr="00156F48">
        <w:rPr>
          <w:rFonts w:ascii="Garamond" w:hAnsi="Garamond" w:cs="Arial"/>
        </w:rPr>
        <w:t xml:space="preserve">; y e) no </w:t>
      </w:r>
      <w:proofErr w:type="spellStart"/>
      <w:r w:rsidRPr="00156F48">
        <w:rPr>
          <w:rFonts w:ascii="Garamond" w:hAnsi="Garamond" w:cs="Arial"/>
        </w:rPr>
        <w:t>poseen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una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formación</w:t>
      </w:r>
      <w:proofErr w:type="spellEnd"/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jurídica</w:t>
      </w:r>
      <w:proofErr w:type="spellEnd"/>
      <w:r w:rsidRPr="00156F48">
        <w:rPr>
          <w:rFonts w:ascii="Garamond" w:hAnsi="Garamond" w:cs="Arial"/>
        </w:rPr>
        <w:t xml:space="preserve"> exigible para </w:t>
      </w:r>
      <w:proofErr w:type="spellStart"/>
      <w:r w:rsidRPr="00156F48">
        <w:rPr>
          <w:rFonts w:ascii="Garamond" w:hAnsi="Garamond" w:cs="Arial"/>
        </w:rPr>
        <w:t>desempeñar</w:t>
      </w:r>
      <w:proofErr w:type="spellEnd"/>
      <w:r w:rsidRPr="00156F48">
        <w:rPr>
          <w:rFonts w:ascii="Garamond" w:hAnsi="Garamond" w:cs="Arial"/>
        </w:rPr>
        <w:t xml:space="preserve"> el cargo (</w:t>
      </w:r>
      <w:proofErr w:type="spellStart"/>
      <w:r w:rsidRPr="00156F48">
        <w:rPr>
          <w:rFonts w:ascii="Garamond" w:hAnsi="Garamond" w:cs="Arial"/>
          <w:color w:val="000000"/>
        </w:rPr>
        <w:t>véase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</w:rPr>
        <w:t>Palamara</w:t>
      </w:r>
      <w:proofErr w:type="spellEnd"/>
      <w:r w:rsidRPr="00156F48">
        <w:rPr>
          <w:rFonts w:ascii="Garamond" w:hAnsi="Garamond" w:cs="Arial"/>
          <w:i/>
          <w:iCs/>
        </w:rPr>
        <w:t xml:space="preserve"> Iribarne vs Chile,</w:t>
      </w:r>
      <w:r w:rsidRPr="00156F48">
        <w:rPr>
          <w:rFonts w:ascii="Garamond" w:hAnsi="Garamond" w:cs="Arial"/>
        </w:rPr>
        <w:t xml:space="preserve"> </w:t>
      </w:r>
      <w:proofErr w:type="spellStart"/>
      <w:r w:rsidRPr="00156F48">
        <w:rPr>
          <w:rFonts w:ascii="Garamond" w:hAnsi="Garamond" w:cs="Arial"/>
        </w:rPr>
        <w:t>párr</w:t>
      </w:r>
      <w:proofErr w:type="spellEnd"/>
      <w:r w:rsidRPr="00156F48">
        <w:rPr>
          <w:rFonts w:ascii="Garamond" w:hAnsi="Garamond" w:cs="Arial"/>
        </w:rPr>
        <w:t>. 155).</w:t>
      </w:r>
    </w:p>
    <w:p w14:paraId="38C16FF5" w14:textId="07E82BAD" w:rsidR="00394468" w:rsidRPr="00156F48" w:rsidRDefault="00394468" w:rsidP="00156F48">
      <w:pPr>
        <w:ind w:firstLine="567"/>
        <w:jc w:val="both"/>
        <w:rPr>
          <w:rFonts w:ascii="Garamond" w:hAnsi="Garamond" w:cs="Arial"/>
          <w:color w:val="000000"/>
        </w:rPr>
      </w:pPr>
      <w:proofErr w:type="spellStart"/>
      <w:r w:rsidRPr="00156F48">
        <w:rPr>
          <w:rFonts w:ascii="Garamond" w:hAnsi="Garamond" w:cs="Arial"/>
          <w:color w:val="000000"/>
        </w:rPr>
        <w:t>Como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último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punto</w:t>
      </w:r>
      <w:proofErr w:type="spellEnd"/>
      <w:r w:rsidRPr="00156F48">
        <w:rPr>
          <w:rFonts w:ascii="Garamond" w:hAnsi="Garamond" w:cs="Arial"/>
          <w:color w:val="000000"/>
        </w:rPr>
        <w:t xml:space="preserve"> a </w:t>
      </w:r>
      <w:proofErr w:type="spellStart"/>
      <w:r w:rsidRPr="00156F48">
        <w:rPr>
          <w:rFonts w:ascii="Garamond" w:hAnsi="Garamond" w:cs="Arial"/>
          <w:color w:val="000000"/>
        </w:rPr>
        <w:t>abordar</w:t>
      </w:r>
      <w:proofErr w:type="spellEnd"/>
      <w:r w:rsidRPr="00156F48">
        <w:rPr>
          <w:rFonts w:ascii="Garamond" w:hAnsi="Garamond" w:cs="Arial"/>
          <w:color w:val="000000"/>
        </w:rPr>
        <w:t xml:space="preserve"> en </w:t>
      </w:r>
      <w:proofErr w:type="spellStart"/>
      <w:r w:rsidRPr="00156F48">
        <w:rPr>
          <w:rFonts w:ascii="Garamond" w:hAnsi="Garamond" w:cs="Arial"/>
          <w:color w:val="000000"/>
        </w:rPr>
        <w:t>esta</w:t>
      </w:r>
      <w:proofErr w:type="spellEnd"/>
      <w:r w:rsidRPr="00156F48">
        <w:rPr>
          <w:rFonts w:ascii="Garamond" w:hAnsi="Garamond" w:cs="Arial"/>
          <w:color w:val="000000"/>
        </w:rPr>
        <w:t xml:space="preserve"> nota, es </w:t>
      </w:r>
      <w:proofErr w:type="spellStart"/>
      <w:r w:rsidRPr="00156F48">
        <w:rPr>
          <w:rFonts w:ascii="Garamond" w:hAnsi="Garamond" w:cs="Arial"/>
          <w:color w:val="000000"/>
        </w:rPr>
        <w:t>preciso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mencionar</w:t>
      </w:r>
      <w:proofErr w:type="spellEnd"/>
      <w:r w:rsidRPr="00156F48">
        <w:rPr>
          <w:rFonts w:ascii="Garamond" w:hAnsi="Garamond" w:cs="Arial"/>
          <w:color w:val="000000"/>
        </w:rPr>
        <w:t xml:space="preserve"> que para </w:t>
      </w:r>
      <w:proofErr w:type="spellStart"/>
      <w:r w:rsidRPr="00156F48">
        <w:rPr>
          <w:rFonts w:ascii="Garamond" w:hAnsi="Garamond" w:cs="Arial"/>
          <w:color w:val="000000"/>
        </w:rPr>
        <w:t>reparar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violaciones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cometidas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por</w:t>
      </w:r>
      <w:proofErr w:type="spellEnd"/>
      <w:r w:rsidRPr="00156F48">
        <w:rPr>
          <w:rFonts w:ascii="Garamond" w:hAnsi="Garamond" w:cs="Arial"/>
          <w:color w:val="000000"/>
        </w:rPr>
        <w:t xml:space="preserve"> los </w:t>
      </w:r>
      <w:proofErr w:type="spellStart"/>
      <w:r w:rsidRPr="00156F48">
        <w:rPr>
          <w:rFonts w:ascii="Garamond" w:hAnsi="Garamond" w:cs="Arial"/>
          <w:color w:val="000000"/>
        </w:rPr>
        <w:t>Estados</w:t>
      </w:r>
      <w:proofErr w:type="spellEnd"/>
      <w:r w:rsidRPr="00156F48">
        <w:rPr>
          <w:rFonts w:ascii="Garamond" w:hAnsi="Garamond" w:cs="Arial"/>
          <w:color w:val="000000"/>
        </w:rPr>
        <w:t xml:space="preserve"> en el </w:t>
      </w:r>
      <w:proofErr w:type="spellStart"/>
      <w:r w:rsidRPr="00156F48">
        <w:rPr>
          <w:rFonts w:ascii="Garamond" w:hAnsi="Garamond" w:cs="Arial"/>
          <w:color w:val="000000"/>
        </w:rPr>
        <w:t>contexto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afectaciones</w:t>
      </w:r>
      <w:proofErr w:type="spellEnd"/>
      <w:r w:rsidRPr="00156F48">
        <w:rPr>
          <w:rFonts w:ascii="Garamond" w:hAnsi="Garamond" w:cs="Arial"/>
          <w:color w:val="000000"/>
        </w:rPr>
        <w:t xml:space="preserve"> a la </w:t>
      </w:r>
      <w:proofErr w:type="spellStart"/>
      <w:r w:rsidRPr="00156F48">
        <w:rPr>
          <w:rFonts w:ascii="Garamond" w:hAnsi="Garamond" w:cs="Arial"/>
          <w:color w:val="000000"/>
        </w:rPr>
        <w:t>independencia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judicial</w:t>
      </w:r>
      <w:proofErr w:type="spellEnd"/>
      <w:r w:rsidRPr="00156F48">
        <w:rPr>
          <w:rFonts w:ascii="Garamond" w:hAnsi="Garamond" w:cs="Arial"/>
          <w:color w:val="000000"/>
        </w:rPr>
        <w:t xml:space="preserve">, la Corte </w:t>
      </w:r>
      <w:proofErr w:type="spellStart"/>
      <w:r w:rsidRPr="00156F48">
        <w:rPr>
          <w:rFonts w:ascii="Garamond" w:hAnsi="Garamond" w:cs="Arial"/>
          <w:color w:val="000000"/>
        </w:rPr>
        <w:t>Interamericana</w:t>
      </w:r>
      <w:proofErr w:type="spellEnd"/>
      <w:r w:rsidRPr="00156F48">
        <w:rPr>
          <w:rFonts w:ascii="Garamond" w:hAnsi="Garamond" w:cs="Arial"/>
          <w:color w:val="000000"/>
        </w:rPr>
        <w:t xml:space="preserve"> ha </w:t>
      </w:r>
      <w:proofErr w:type="spellStart"/>
      <w:r w:rsidRPr="00156F48">
        <w:rPr>
          <w:rFonts w:ascii="Garamond" w:hAnsi="Garamond" w:cs="Arial"/>
          <w:color w:val="000000"/>
        </w:rPr>
        <w:t>solicitado</w:t>
      </w:r>
      <w:proofErr w:type="spellEnd"/>
      <w:r w:rsidRPr="00156F48">
        <w:rPr>
          <w:rFonts w:ascii="Garamond" w:hAnsi="Garamond" w:cs="Arial"/>
          <w:color w:val="000000"/>
        </w:rPr>
        <w:t xml:space="preserve"> en primera instancia que, de </w:t>
      </w:r>
      <w:proofErr w:type="spellStart"/>
      <w:r w:rsidRPr="00156F48">
        <w:rPr>
          <w:rFonts w:ascii="Garamond" w:hAnsi="Garamond" w:cs="Arial"/>
          <w:color w:val="000000"/>
        </w:rPr>
        <w:t>así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desearlo</w:t>
      </w:r>
      <w:proofErr w:type="spellEnd"/>
      <w:r w:rsidRPr="00156F48">
        <w:rPr>
          <w:rFonts w:ascii="Garamond" w:hAnsi="Garamond" w:cs="Arial"/>
          <w:color w:val="000000"/>
        </w:rPr>
        <w:t xml:space="preserve"> la </w:t>
      </w:r>
      <w:proofErr w:type="spellStart"/>
      <w:r w:rsidRPr="00156F48">
        <w:rPr>
          <w:rFonts w:ascii="Garamond" w:hAnsi="Garamond" w:cs="Arial"/>
          <w:color w:val="000000"/>
        </w:rPr>
        <w:t>víctima</w:t>
      </w:r>
      <w:proofErr w:type="spellEnd"/>
      <w:r w:rsidRPr="00156F48">
        <w:rPr>
          <w:rFonts w:ascii="Garamond" w:hAnsi="Garamond" w:cs="Arial"/>
          <w:color w:val="000000"/>
        </w:rPr>
        <w:t xml:space="preserve">, se le </w:t>
      </w:r>
      <w:proofErr w:type="spellStart"/>
      <w:r w:rsidRPr="00156F48">
        <w:rPr>
          <w:rFonts w:ascii="Garamond" w:hAnsi="Garamond" w:cs="Arial"/>
          <w:color w:val="000000"/>
        </w:rPr>
        <w:t>reincorpore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nuevamente</w:t>
      </w:r>
      <w:proofErr w:type="spellEnd"/>
      <w:r w:rsidRPr="00156F48">
        <w:rPr>
          <w:rFonts w:ascii="Garamond" w:hAnsi="Garamond" w:cs="Arial"/>
          <w:color w:val="000000"/>
        </w:rPr>
        <w:t xml:space="preserve"> al </w:t>
      </w:r>
      <w:proofErr w:type="spellStart"/>
      <w:r w:rsidRPr="00156F48">
        <w:rPr>
          <w:rFonts w:ascii="Garamond" w:hAnsi="Garamond" w:cs="Arial"/>
          <w:color w:val="000000"/>
        </w:rPr>
        <w:t>puesto</w:t>
      </w:r>
      <w:proofErr w:type="spellEnd"/>
      <w:r w:rsidRPr="00156F48">
        <w:rPr>
          <w:rFonts w:ascii="Garamond" w:hAnsi="Garamond" w:cs="Arial"/>
          <w:color w:val="000000"/>
        </w:rPr>
        <w:t xml:space="preserve"> que </w:t>
      </w:r>
      <w:proofErr w:type="spellStart"/>
      <w:r w:rsidRPr="00156F48">
        <w:rPr>
          <w:rFonts w:ascii="Garamond" w:hAnsi="Garamond" w:cs="Arial"/>
          <w:color w:val="000000"/>
        </w:rPr>
        <w:t>tenía</w:t>
      </w:r>
      <w:proofErr w:type="spellEnd"/>
      <w:r w:rsidRPr="00156F48">
        <w:rPr>
          <w:rFonts w:ascii="Garamond" w:hAnsi="Garamond" w:cs="Arial"/>
          <w:color w:val="000000"/>
        </w:rPr>
        <w:t xml:space="preserve"> antes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cese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arbitrario</w:t>
      </w:r>
      <w:proofErr w:type="spellEnd"/>
      <w:r w:rsidRPr="00156F48">
        <w:rPr>
          <w:rFonts w:ascii="Garamond" w:hAnsi="Garamond" w:cs="Arial"/>
          <w:color w:val="000000"/>
        </w:rPr>
        <w:t xml:space="preserve">, o a </w:t>
      </w:r>
      <w:proofErr w:type="spellStart"/>
      <w:r w:rsidRPr="00156F48">
        <w:rPr>
          <w:rFonts w:ascii="Garamond" w:hAnsi="Garamond" w:cs="Arial"/>
          <w:color w:val="000000"/>
        </w:rPr>
        <w:t>uno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similar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otorgándole</w:t>
      </w:r>
      <w:proofErr w:type="spellEnd"/>
      <w:r w:rsidRPr="00156F48">
        <w:rPr>
          <w:rFonts w:ascii="Garamond" w:hAnsi="Garamond" w:cs="Arial"/>
          <w:color w:val="000000"/>
        </w:rPr>
        <w:t xml:space="preserve"> las </w:t>
      </w:r>
      <w:proofErr w:type="spellStart"/>
      <w:r w:rsidRPr="00156F48">
        <w:rPr>
          <w:rFonts w:ascii="Garamond" w:hAnsi="Garamond" w:cs="Arial"/>
          <w:color w:val="000000"/>
        </w:rPr>
        <w:t>remuneraciones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beneficios</w:t>
      </w:r>
      <w:proofErr w:type="spellEnd"/>
      <w:r w:rsidRPr="00156F48">
        <w:rPr>
          <w:rFonts w:ascii="Garamond" w:hAnsi="Garamond" w:cs="Arial"/>
          <w:color w:val="000000"/>
        </w:rPr>
        <w:t xml:space="preserve"> sociales y </w:t>
      </w:r>
      <w:proofErr w:type="spellStart"/>
      <w:r w:rsidRPr="00156F48">
        <w:rPr>
          <w:rFonts w:ascii="Garamond" w:hAnsi="Garamond" w:cs="Arial"/>
          <w:color w:val="000000"/>
        </w:rPr>
        <w:t>rango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equiparables</w:t>
      </w:r>
      <w:proofErr w:type="spellEnd"/>
      <w:r w:rsidRPr="00156F48">
        <w:rPr>
          <w:rFonts w:ascii="Garamond" w:hAnsi="Garamond" w:cs="Arial"/>
          <w:color w:val="000000"/>
        </w:rPr>
        <w:t xml:space="preserve"> a los que a la </w:t>
      </w:r>
      <w:proofErr w:type="spellStart"/>
      <w:r w:rsidRPr="00156F48">
        <w:rPr>
          <w:rFonts w:ascii="Garamond" w:hAnsi="Garamond" w:cs="Arial"/>
          <w:color w:val="000000"/>
        </w:rPr>
        <w:t>fecha</w:t>
      </w:r>
      <w:proofErr w:type="spellEnd"/>
      <w:r w:rsidRPr="00156F48">
        <w:rPr>
          <w:rFonts w:ascii="Garamond" w:hAnsi="Garamond" w:cs="Arial"/>
          <w:color w:val="000000"/>
        </w:rPr>
        <w:t xml:space="preserve"> de la </w:t>
      </w:r>
      <w:proofErr w:type="spellStart"/>
      <w:r w:rsidRPr="00156F48">
        <w:rPr>
          <w:rFonts w:ascii="Garamond" w:hAnsi="Garamond" w:cs="Arial"/>
          <w:color w:val="000000"/>
        </w:rPr>
        <w:t>emisión</w:t>
      </w:r>
      <w:proofErr w:type="spellEnd"/>
      <w:r w:rsidRPr="00156F48">
        <w:rPr>
          <w:rFonts w:ascii="Garamond" w:hAnsi="Garamond" w:cs="Arial"/>
          <w:color w:val="000000"/>
        </w:rPr>
        <w:t xml:space="preserve"> de la sentencia le </w:t>
      </w:r>
      <w:proofErr w:type="spellStart"/>
      <w:r w:rsidRPr="00156F48">
        <w:rPr>
          <w:rFonts w:ascii="Garamond" w:hAnsi="Garamond" w:cs="Arial"/>
          <w:color w:val="000000"/>
        </w:rPr>
        <w:t>correspondería</w:t>
      </w:r>
      <w:proofErr w:type="spellEnd"/>
      <w:r w:rsidRPr="00156F48">
        <w:rPr>
          <w:rFonts w:ascii="Garamond" w:hAnsi="Garamond" w:cs="Arial"/>
          <w:color w:val="000000"/>
        </w:rPr>
        <w:t xml:space="preserve"> de no </w:t>
      </w:r>
      <w:proofErr w:type="spellStart"/>
      <w:r w:rsidRPr="00156F48">
        <w:rPr>
          <w:rFonts w:ascii="Garamond" w:hAnsi="Garamond" w:cs="Arial"/>
          <w:color w:val="000000"/>
        </w:rPr>
        <w:t>haber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sido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destituida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spellStart"/>
      <w:r w:rsidRPr="00156F48">
        <w:rPr>
          <w:rFonts w:ascii="Garamond" w:hAnsi="Garamond" w:cs="Arial"/>
          <w:color w:val="000000"/>
        </w:rPr>
        <w:t>Además</w:t>
      </w:r>
      <w:proofErr w:type="spellEnd"/>
      <w:r w:rsidRPr="00156F48">
        <w:rPr>
          <w:rFonts w:ascii="Garamond" w:hAnsi="Garamond" w:cs="Arial"/>
          <w:color w:val="000000"/>
        </w:rPr>
        <w:t xml:space="preserve">, entre </w:t>
      </w:r>
      <w:proofErr w:type="spellStart"/>
      <w:r w:rsidRPr="00156F48">
        <w:rPr>
          <w:rFonts w:ascii="Garamond" w:hAnsi="Garamond" w:cs="Arial"/>
          <w:color w:val="000000"/>
        </w:rPr>
        <w:t>otras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medidas</w:t>
      </w:r>
      <w:proofErr w:type="spellEnd"/>
      <w:r w:rsidRPr="00156F48">
        <w:rPr>
          <w:rFonts w:ascii="Garamond" w:hAnsi="Garamond" w:cs="Arial"/>
          <w:color w:val="000000"/>
        </w:rPr>
        <w:t xml:space="preserve"> de </w:t>
      </w:r>
      <w:proofErr w:type="spellStart"/>
      <w:r w:rsidRPr="00156F48">
        <w:rPr>
          <w:rFonts w:ascii="Garamond" w:hAnsi="Garamond" w:cs="Arial"/>
          <w:color w:val="000000"/>
        </w:rPr>
        <w:t>reparación</w:t>
      </w:r>
      <w:proofErr w:type="spellEnd"/>
      <w:r w:rsidRPr="00156F48">
        <w:rPr>
          <w:rFonts w:ascii="Garamond" w:hAnsi="Garamond" w:cs="Arial"/>
          <w:color w:val="000000"/>
        </w:rPr>
        <w:t xml:space="preserve">, la </w:t>
      </w:r>
      <w:proofErr w:type="spellStart"/>
      <w:r w:rsidRPr="00156F48">
        <w:rPr>
          <w:rFonts w:ascii="Garamond" w:hAnsi="Garamond" w:cs="Arial"/>
          <w:color w:val="000000"/>
        </w:rPr>
        <w:t>CorteIDH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reiteradamente</w:t>
      </w:r>
      <w:proofErr w:type="spellEnd"/>
      <w:r w:rsidRPr="00156F48">
        <w:rPr>
          <w:rFonts w:ascii="Garamond" w:hAnsi="Garamond" w:cs="Arial"/>
          <w:color w:val="000000"/>
        </w:rPr>
        <w:t xml:space="preserve"> ha </w:t>
      </w:r>
      <w:proofErr w:type="spellStart"/>
      <w:r w:rsidRPr="00156F48">
        <w:rPr>
          <w:rFonts w:ascii="Garamond" w:hAnsi="Garamond" w:cs="Arial"/>
          <w:color w:val="000000"/>
        </w:rPr>
        <w:t>solicitado</w:t>
      </w:r>
      <w:proofErr w:type="spellEnd"/>
      <w:r w:rsidRPr="00156F48">
        <w:rPr>
          <w:rFonts w:ascii="Garamond" w:hAnsi="Garamond" w:cs="Arial"/>
          <w:color w:val="000000"/>
        </w:rPr>
        <w:t xml:space="preserve"> que se </w:t>
      </w:r>
      <w:proofErr w:type="spellStart"/>
      <w:r w:rsidRPr="00156F48">
        <w:rPr>
          <w:rFonts w:ascii="Garamond" w:hAnsi="Garamond" w:cs="Arial"/>
          <w:color w:val="000000"/>
        </w:rPr>
        <w:t>adecue</w:t>
      </w:r>
      <w:proofErr w:type="spellEnd"/>
      <w:r w:rsidRPr="00156F48">
        <w:rPr>
          <w:rFonts w:ascii="Garamond" w:hAnsi="Garamond" w:cs="Arial"/>
          <w:color w:val="000000"/>
        </w:rPr>
        <w:t xml:space="preserve"> el derecho </w:t>
      </w:r>
      <w:proofErr w:type="spellStart"/>
      <w:r w:rsidRPr="00156F48">
        <w:rPr>
          <w:rFonts w:ascii="Garamond" w:hAnsi="Garamond" w:cs="Arial"/>
          <w:color w:val="000000"/>
        </w:rPr>
        <w:t>interno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mediante</w:t>
      </w:r>
      <w:proofErr w:type="spellEnd"/>
      <w:r w:rsidRPr="00156F48">
        <w:rPr>
          <w:rFonts w:ascii="Garamond" w:hAnsi="Garamond" w:cs="Arial"/>
          <w:color w:val="000000"/>
        </w:rPr>
        <w:t xml:space="preserve"> el </w:t>
      </w:r>
      <w:proofErr w:type="spellStart"/>
      <w:r w:rsidRPr="00156F48">
        <w:rPr>
          <w:rFonts w:ascii="Garamond" w:hAnsi="Garamond" w:cs="Arial"/>
          <w:color w:val="000000"/>
        </w:rPr>
        <w:t>ejercicio</w:t>
      </w:r>
      <w:proofErr w:type="spell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del</w:t>
      </w:r>
      <w:proofErr w:type="spellEnd"/>
      <w:r w:rsidRPr="00156F48">
        <w:rPr>
          <w:rFonts w:ascii="Garamond" w:hAnsi="Garamond" w:cs="Arial"/>
          <w:color w:val="000000"/>
        </w:rPr>
        <w:t xml:space="preserve"> control de </w:t>
      </w:r>
      <w:proofErr w:type="spellStart"/>
      <w:r w:rsidRPr="00156F48">
        <w:rPr>
          <w:rFonts w:ascii="Garamond" w:hAnsi="Garamond" w:cs="Arial"/>
          <w:color w:val="000000"/>
        </w:rPr>
        <w:t>convencionalidad</w:t>
      </w:r>
      <w:proofErr w:type="spellEnd"/>
      <w:r w:rsidRPr="00156F48">
        <w:rPr>
          <w:rFonts w:ascii="Garamond" w:hAnsi="Garamond" w:cs="Arial"/>
          <w:color w:val="000000"/>
        </w:rPr>
        <w:t xml:space="preserve"> y en su </w:t>
      </w:r>
      <w:proofErr w:type="spellStart"/>
      <w:r w:rsidRPr="00156F48">
        <w:rPr>
          <w:rFonts w:ascii="Garamond" w:hAnsi="Garamond" w:cs="Arial"/>
          <w:color w:val="000000"/>
        </w:rPr>
        <w:t>caso</w:t>
      </w:r>
      <w:proofErr w:type="spellEnd"/>
      <w:r w:rsidRPr="00156F48">
        <w:rPr>
          <w:rFonts w:ascii="Garamond" w:hAnsi="Garamond" w:cs="Arial"/>
          <w:color w:val="000000"/>
        </w:rPr>
        <w:t xml:space="preserve">, se </w:t>
      </w:r>
      <w:proofErr w:type="spellStart"/>
      <w:r w:rsidRPr="00156F48">
        <w:rPr>
          <w:rFonts w:ascii="Garamond" w:hAnsi="Garamond" w:cs="Arial"/>
          <w:color w:val="000000"/>
        </w:rPr>
        <w:t>deje</w:t>
      </w:r>
      <w:proofErr w:type="spellEnd"/>
      <w:r w:rsidRPr="00156F48">
        <w:rPr>
          <w:rFonts w:ascii="Garamond" w:hAnsi="Garamond" w:cs="Arial"/>
          <w:color w:val="000000"/>
        </w:rPr>
        <w:t xml:space="preserve"> sin </w:t>
      </w:r>
      <w:proofErr w:type="spellStart"/>
      <w:r w:rsidRPr="00156F48">
        <w:rPr>
          <w:rFonts w:ascii="Garamond" w:hAnsi="Garamond" w:cs="Arial"/>
          <w:color w:val="000000"/>
        </w:rPr>
        <w:t>efectos</w:t>
      </w:r>
      <w:proofErr w:type="spellEnd"/>
      <w:r w:rsidRPr="00156F48">
        <w:rPr>
          <w:rFonts w:ascii="Garamond" w:hAnsi="Garamond" w:cs="Arial"/>
          <w:color w:val="000000"/>
        </w:rPr>
        <w:t xml:space="preserve"> las sentencias </w:t>
      </w:r>
      <w:proofErr w:type="spellStart"/>
      <w:r w:rsidRPr="00156F48">
        <w:rPr>
          <w:rFonts w:ascii="Garamond" w:hAnsi="Garamond" w:cs="Arial"/>
          <w:color w:val="000000"/>
        </w:rPr>
        <w:t>condenatorias</w:t>
      </w:r>
      <w:proofErr w:type="spellEnd"/>
      <w:r w:rsidRPr="00156F48">
        <w:rPr>
          <w:rFonts w:ascii="Garamond" w:hAnsi="Garamond" w:cs="Arial"/>
          <w:color w:val="000000"/>
        </w:rPr>
        <w:t xml:space="preserve"> (</w:t>
      </w:r>
      <w:proofErr w:type="spellStart"/>
      <w:r w:rsidRPr="00156F48">
        <w:rPr>
          <w:rFonts w:ascii="Garamond" w:hAnsi="Garamond" w:cs="Arial"/>
          <w:color w:val="000000"/>
        </w:rPr>
        <w:t>veánse</w:t>
      </w:r>
      <w:proofErr w:type="spellEnd"/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Apitz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Barbera y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otros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r w:rsidRPr="00156F48">
        <w:rPr>
          <w:rFonts w:ascii="Garamond" w:hAnsi="Garamond" w:cs="Arial"/>
          <w:color w:val="000000"/>
        </w:rPr>
        <w:t>(“</w:t>
      </w:r>
      <w:r w:rsidRPr="00156F48">
        <w:rPr>
          <w:rFonts w:ascii="Garamond" w:hAnsi="Garamond" w:cs="Arial"/>
          <w:i/>
          <w:iCs/>
          <w:color w:val="000000"/>
        </w:rPr>
        <w:t xml:space="preserve">Corte Primera de lo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Contencioso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Administrativo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”)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246;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Reverón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Trujillo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</w:t>
      </w:r>
      <w:proofErr w:type="gramStart"/>
      <w:r w:rsidRPr="00156F48">
        <w:rPr>
          <w:rFonts w:ascii="Garamond" w:hAnsi="Garamond" w:cs="Arial"/>
          <w:color w:val="000000"/>
        </w:rPr>
        <w:t>163;</w:t>
      </w:r>
      <w:proofErr w:type="gramEnd"/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Chocrón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Chocrón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 xml:space="preserve"> vs Venezuela</w:t>
      </w:r>
      <w:r w:rsidRPr="00156F48">
        <w:rPr>
          <w:rFonts w:ascii="Garamond" w:hAnsi="Garamond" w:cs="Arial"/>
          <w:color w:val="000000"/>
        </w:rPr>
        <w:t xml:space="preserve">, </w:t>
      </w:r>
      <w:proofErr w:type="spellStart"/>
      <w:r w:rsidRPr="00156F48">
        <w:rPr>
          <w:rFonts w:ascii="Garamond" w:hAnsi="Garamond" w:cs="Arial"/>
          <w:color w:val="000000"/>
        </w:rPr>
        <w:t>párrs</w:t>
      </w:r>
      <w:proofErr w:type="spellEnd"/>
      <w:r w:rsidRPr="00156F48">
        <w:rPr>
          <w:rFonts w:ascii="Garamond" w:hAnsi="Garamond" w:cs="Arial"/>
          <w:color w:val="000000"/>
        </w:rPr>
        <w:t xml:space="preserve">. 162 y </w:t>
      </w:r>
      <w:proofErr w:type="gramStart"/>
      <w:r w:rsidRPr="00156F48">
        <w:rPr>
          <w:rFonts w:ascii="Garamond" w:hAnsi="Garamond" w:cs="Arial"/>
          <w:color w:val="000000"/>
        </w:rPr>
        <w:t>172;</w:t>
      </w:r>
      <w:proofErr w:type="gramEnd"/>
      <w:r w:rsidRPr="00156F48">
        <w:rPr>
          <w:rFonts w:ascii="Garamond" w:hAnsi="Garamond" w:cs="Arial"/>
          <w:color w:val="000000"/>
        </w:rPr>
        <w:t xml:space="preserve"> y </w:t>
      </w:r>
      <w:r w:rsidRPr="00156F48">
        <w:rPr>
          <w:rFonts w:ascii="Garamond" w:hAnsi="Garamond" w:cs="Arial"/>
          <w:i/>
          <w:iCs/>
          <w:color w:val="000000"/>
        </w:rPr>
        <w:t xml:space="preserve">Casa Nina vs </w:t>
      </w:r>
      <w:proofErr w:type="spellStart"/>
      <w:r w:rsidRPr="00156F48">
        <w:rPr>
          <w:rFonts w:ascii="Garamond" w:hAnsi="Garamond" w:cs="Arial"/>
          <w:i/>
          <w:iCs/>
          <w:color w:val="000000"/>
        </w:rPr>
        <w:t>Perú</w:t>
      </w:r>
      <w:proofErr w:type="spellEnd"/>
      <w:r w:rsidRPr="00156F48">
        <w:rPr>
          <w:rFonts w:ascii="Garamond" w:hAnsi="Garamond" w:cs="Arial"/>
          <w:i/>
          <w:iCs/>
          <w:color w:val="000000"/>
        </w:rPr>
        <w:t>,</w:t>
      </w:r>
      <w:r w:rsidRPr="00156F48">
        <w:rPr>
          <w:rFonts w:ascii="Garamond" w:hAnsi="Garamond" w:cs="Arial"/>
          <w:color w:val="000000"/>
        </w:rPr>
        <w:t xml:space="preserve"> </w:t>
      </w:r>
      <w:proofErr w:type="spellStart"/>
      <w:r w:rsidRPr="00156F48">
        <w:rPr>
          <w:rFonts w:ascii="Garamond" w:hAnsi="Garamond" w:cs="Arial"/>
          <w:color w:val="000000"/>
        </w:rPr>
        <w:t>párr</w:t>
      </w:r>
      <w:proofErr w:type="spellEnd"/>
      <w:r w:rsidRPr="00156F48">
        <w:rPr>
          <w:rFonts w:ascii="Garamond" w:hAnsi="Garamond" w:cs="Arial"/>
          <w:color w:val="000000"/>
        </w:rPr>
        <w:t xml:space="preserve">. 139). </w:t>
      </w:r>
      <w:r w:rsidR="00795FC4" w:rsidRPr="00156F48">
        <w:rPr>
          <w:rFonts w:ascii="Garamond" w:hAnsi="Garamond" w:cs="Arial"/>
          <w:color w:val="000000"/>
        </w:rPr>
        <w:t xml:space="preserve"> </w:t>
      </w:r>
    </w:p>
    <w:p w14:paraId="56B15E8A" w14:textId="77777777" w:rsidR="00F70C13" w:rsidRDefault="00F70C13" w:rsidP="00156F48">
      <w:pPr>
        <w:autoSpaceDE w:val="0"/>
        <w:autoSpaceDN w:val="0"/>
        <w:adjustRightInd w:val="0"/>
        <w:jc w:val="both"/>
        <w:rPr>
          <w:rFonts w:ascii="Garamond" w:eastAsia="Calibri" w:hAnsi="Garamond" w:cs="Helvetica"/>
          <w:lang w:eastAsia="en-US"/>
        </w:rPr>
      </w:pPr>
    </w:p>
    <w:p w14:paraId="223659A0" w14:textId="77777777" w:rsidR="003F79BF" w:rsidRPr="00156F48" w:rsidRDefault="003F79BF" w:rsidP="00156F48">
      <w:pPr>
        <w:autoSpaceDE w:val="0"/>
        <w:autoSpaceDN w:val="0"/>
        <w:adjustRightInd w:val="0"/>
        <w:jc w:val="both"/>
        <w:rPr>
          <w:rFonts w:ascii="Garamond" w:eastAsia="Calibri" w:hAnsi="Garamond" w:cs="Helvetica"/>
          <w:lang w:eastAsia="en-US"/>
        </w:rPr>
      </w:pPr>
    </w:p>
    <w:p w14:paraId="462BE9CC" w14:textId="24594D50" w:rsidR="00F70C13" w:rsidRPr="00841DFB" w:rsidRDefault="00F70C13" w:rsidP="00156F48">
      <w:pPr>
        <w:autoSpaceDE w:val="0"/>
        <w:autoSpaceDN w:val="0"/>
        <w:adjustRightInd w:val="0"/>
        <w:jc w:val="right"/>
        <w:rPr>
          <w:rFonts w:ascii="Garamond" w:eastAsia="Calibri" w:hAnsi="Garamond" w:cs="Helvetica"/>
          <w:smallCaps/>
          <w:lang w:eastAsia="en-US"/>
        </w:rPr>
      </w:pPr>
      <w:r w:rsidRPr="00841DFB">
        <w:rPr>
          <w:rFonts w:ascii="Garamond" w:eastAsia="Calibri" w:hAnsi="Garamond" w:cs="Helvetica"/>
          <w:smallCaps/>
          <w:lang w:eastAsia="en-US"/>
        </w:rPr>
        <w:t>Sergio García Ramírez</w:t>
      </w:r>
    </w:p>
    <w:p w14:paraId="15FDD665" w14:textId="0C0CB852" w:rsidR="00EE032C" w:rsidRPr="00841DFB" w:rsidRDefault="00F70C13" w:rsidP="00156F48">
      <w:pPr>
        <w:autoSpaceDE w:val="0"/>
        <w:autoSpaceDN w:val="0"/>
        <w:adjustRightInd w:val="0"/>
        <w:jc w:val="right"/>
        <w:rPr>
          <w:rFonts w:ascii="Garamond" w:hAnsi="Garamond"/>
        </w:rPr>
      </w:pPr>
      <w:r w:rsidRPr="00841DFB">
        <w:rPr>
          <w:rFonts w:ascii="Garamond" w:eastAsia="Calibri" w:hAnsi="Garamond" w:cs="Helvetica"/>
          <w:smallCaps/>
          <w:lang w:eastAsia="en-US"/>
        </w:rPr>
        <w:t>Karen Citlalli Narvaez Delgado</w:t>
      </w:r>
    </w:p>
    <w:sectPr w:rsidR="00EE032C" w:rsidRPr="00841DFB" w:rsidSect="00841DF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1" w:h="16817"/>
      <w:pgMar w:top="1701" w:right="1701" w:bottom="2268" w:left="1701" w:header="709" w:footer="1134" w:gutter="0"/>
      <w:pgNumType w:start="9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7D10" w14:textId="77777777" w:rsidR="000E1C30" w:rsidRDefault="000E1C30">
      <w:r>
        <w:separator/>
      </w:r>
    </w:p>
  </w:endnote>
  <w:endnote w:type="continuationSeparator" w:id="0">
    <w:p w14:paraId="441FDC34" w14:textId="77777777" w:rsidR="000E1C30" w:rsidRDefault="000E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420622"/>
      <w:docPartObj>
        <w:docPartGallery w:val="Page Numbers (Bottom of Page)"/>
        <w:docPartUnique/>
      </w:docPartObj>
    </w:sdtPr>
    <w:sdtContent>
      <w:p w14:paraId="60478EB5" w14:textId="77777777" w:rsidR="00A0031A" w:rsidRDefault="009F48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343AAA91" w14:textId="77777777" w:rsidR="00A0031A" w:rsidRDefault="00A003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EC00" w14:textId="77777777" w:rsidR="00156F48" w:rsidRDefault="00156F48">
    <w:pPr>
      <w:pStyle w:val="Pidipagina"/>
      <w:rPr>
        <w:rFonts w:ascii="Garamond" w:hAnsi="Garamond"/>
        <w:i/>
        <w:iCs/>
        <w:lang w:val="it-IT"/>
      </w:rPr>
    </w:pPr>
  </w:p>
  <w:p w14:paraId="413F6BDB" w14:textId="43413222" w:rsidR="00A0031A" w:rsidRDefault="009F488B">
    <w:pPr>
      <w:pStyle w:val="Pidipagina"/>
      <w:rPr>
        <w:rFonts w:ascii="Garamond" w:hAnsi="Garamond"/>
        <w:i/>
        <w:iCs/>
        <w:lang w:val="it-IT"/>
      </w:rPr>
    </w:pPr>
    <w:r>
      <w:rPr>
        <w:rFonts w:ascii="Garamond" w:hAnsi="Garamond"/>
        <w:i/>
        <w:iCs/>
        <w:lang w:val="it-IT"/>
      </w:rPr>
      <w:t xml:space="preserve">ISSN 2284-3531 </w:t>
    </w:r>
    <w:r w:rsidRPr="00156F48">
      <w:rPr>
        <w:rFonts w:ascii="Garamond" w:hAnsi="Garamond"/>
        <w:b/>
        <w:bCs/>
        <w:i/>
        <w:iCs/>
        <w:color w:val="E28344"/>
        <w:lang w:val="it-IT"/>
      </w:rPr>
      <w:t>Ordine internazionale e diritti umani</w:t>
    </w:r>
    <w:r>
      <w:rPr>
        <w:rFonts w:ascii="Garamond" w:hAnsi="Garamond"/>
        <w:i/>
        <w:iCs/>
        <w:lang w:val="it-IT"/>
      </w:rPr>
      <w:t>, (202</w:t>
    </w:r>
    <w:r w:rsidR="00FE565A">
      <w:rPr>
        <w:rFonts w:ascii="Garamond" w:hAnsi="Garamond"/>
        <w:i/>
        <w:iCs/>
        <w:lang w:val="it-IT"/>
      </w:rPr>
      <w:t>3</w:t>
    </w:r>
    <w:r>
      <w:rPr>
        <w:rFonts w:ascii="Garamond" w:hAnsi="Garamond"/>
        <w:i/>
        <w:iCs/>
        <w:lang w:val="it-IT"/>
      </w:rPr>
      <w:t xml:space="preserve">), pp. </w:t>
    </w:r>
    <w:r w:rsidR="00841DFB">
      <w:rPr>
        <w:rFonts w:ascii="Garamond" w:hAnsi="Garamond"/>
        <w:i/>
        <w:iCs/>
        <w:lang w:val="it-IT"/>
      </w:rPr>
      <w:t>990-995</w:t>
    </w:r>
    <w:r>
      <w:rPr>
        <w:rFonts w:ascii="Garamond" w:hAnsi="Garamond"/>
        <w:i/>
        <w:iCs/>
        <w:lang w:val="it-IT"/>
      </w:rPr>
      <w:t>.</w:t>
    </w:r>
  </w:p>
  <w:p w14:paraId="678CC92C" w14:textId="77777777" w:rsidR="00156F48" w:rsidRDefault="00156F48">
    <w:pPr>
      <w:pStyle w:val="Pidipagina"/>
      <w:rPr>
        <w:rFonts w:ascii="Garamond" w:hAnsi="Garamond"/>
        <w:i/>
        <w:iCs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8CF2" w14:textId="77777777" w:rsidR="00156F48" w:rsidRDefault="00156F48" w:rsidP="00156F48">
    <w:pPr>
      <w:pStyle w:val="Pidipagina"/>
      <w:rPr>
        <w:rFonts w:ascii="Garamond" w:hAnsi="Garamond"/>
        <w:i/>
        <w:iCs/>
        <w:lang w:val="it-IT"/>
      </w:rPr>
    </w:pPr>
  </w:p>
  <w:p w14:paraId="101608F7" w14:textId="75D17AD2" w:rsidR="00156F48" w:rsidRDefault="00156F48" w:rsidP="00156F48">
    <w:pPr>
      <w:pStyle w:val="Pidipagina"/>
      <w:rPr>
        <w:rFonts w:ascii="Garamond" w:hAnsi="Garamond"/>
        <w:i/>
        <w:iCs/>
        <w:lang w:val="it-IT"/>
      </w:rPr>
    </w:pPr>
    <w:r>
      <w:rPr>
        <w:rFonts w:ascii="Garamond" w:hAnsi="Garamond"/>
        <w:i/>
        <w:iCs/>
        <w:lang w:val="it-IT"/>
      </w:rPr>
      <w:t xml:space="preserve">ISSN 2284-3531 </w:t>
    </w:r>
    <w:r w:rsidRPr="00156F48">
      <w:rPr>
        <w:rFonts w:ascii="Garamond" w:hAnsi="Garamond"/>
        <w:b/>
        <w:bCs/>
        <w:i/>
        <w:iCs/>
        <w:color w:val="E28344"/>
        <w:lang w:val="it-IT"/>
      </w:rPr>
      <w:t>Ordine internazionale e diritti umani</w:t>
    </w:r>
    <w:r>
      <w:rPr>
        <w:rFonts w:ascii="Garamond" w:hAnsi="Garamond"/>
        <w:i/>
        <w:iCs/>
        <w:lang w:val="it-IT"/>
      </w:rPr>
      <w:t xml:space="preserve">, (2023), pp. </w:t>
    </w:r>
    <w:r w:rsidR="00841DFB">
      <w:rPr>
        <w:rFonts w:ascii="Garamond" w:hAnsi="Garamond"/>
        <w:i/>
        <w:iCs/>
        <w:lang w:val="it-IT"/>
      </w:rPr>
      <w:t>990-995</w:t>
    </w:r>
    <w:r>
      <w:rPr>
        <w:rFonts w:ascii="Garamond" w:hAnsi="Garamond"/>
        <w:i/>
        <w:iCs/>
        <w:lang w:val="it-IT"/>
      </w:rPr>
      <w:t>.</w:t>
    </w:r>
  </w:p>
  <w:p w14:paraId="25188EA2" w14:textId="134B5B19" w:rsidR="00A0031A" w:rsidRPr="00156F48" w:rsidRDefault="00A0031A" w:rsidP="00156F4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3165" w14:textId="77777777" w:rsidR="000E1C30" w:rsidRDefault="000E1C30">
      <w:r>
        <w:separator/>
      </w:r>
    </w:p>
  </w:footnote>
  <w:footnote w:type="continuationSeparator" w:id="0">
    <w:p w14:paraId="27E10122" w14:textId="77777777" w:rsidR="000E1C30" w:rsidRDefault="000E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087106"/>
      <w:docPartObj>
        <w:docPartGallery w:val="Page Numbers (Top of Page)"/>
        <w:docPartUnique/>
      </w:docPartObj>
    </w:sdtPr>
    <w:sdtContent>
      <w:p w14:paraId="3656B33A" w14:textId="77777777" w:rsidR="00A0031A" w:rsidRDefault="009F488B" w:rsidP="006B2C87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37268699" w14:textId="77777777" w:rsidR="00A0031A" w:rsidRDefault="00A0031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Garamond" w:hAnsi="Garamond"/>
      </w:rPr>
      <w:id w:val="-309333312"/>
      <w:docPartObj>
        <w:docPartGallery w:val="Page Numbers (Top of Page)"/>
        <w:docPartUnique/>
      </w:docPartObj>
    </w:sdtPr>
    <w:sdtContent>
      <w:p w14:paraId="654B2019" w14:textId="12603198" w:rsidR="006B2C87" w:rsidRPr="006B2C87" w:rsidRDefault="006B2C87" w:rsidP="00D37E40">
        <w:pPr>
          <w:pStyle w:val="Intestazione"/>
          <w:framePr w:wrap="none" w:vAnchor="text" w:hAnchor="margin" w:xAlign="right" w:y="1"/>
          <w:rPr>
            <w:rStyle w:val="Numeropagina"/>
            <w:rFonts w:ascii="Garamond" w:hAnsi="Garamond"/>
          </w:rPr>
        </w:pPr>
        <w:r w:rsidRPr="006B2C87">
          <w:rPr>
            <w:rStyle w:val="Numeropagina"/>
            <w:rFonts w:ascii="Garamond" w:hAnsi="Garamond"/>
          </w:rPr>
          <w:fldChar w:fldCharType="begin"/>
        </w:r>
        <w:r w:rsidRPr="006B2C87">
          <w:rPr>
            <w:rStyle w:val="Numeropagina"/>
            <w:rFonts w:ascii="Garamond" w:hAnsi="Garamond"/>
          </w:rPr>
          <w:instrText xml:space="preserve"> PAGE </w:instrText>
        </w:r>
        <w:r w:rsidRPr="006B2C87">
          <w:rPr>
            <w:rStyle w:val="Numeropagina"/>
            <w:rFonts w:ascii="Garamond" w:hAnsi="Garamond"/>
          </w:rPr>
          <w:fldChar w:fldCharType="separate"/>
        </w:r>
        <w:r w:rsidRPr="006B2C87">
          <w:rPr>
            <w:rStyle w:val="Numeropagina"/>
            <w:rFonts w:ascii="Garamond" w:hAnsi="Garamond"/>
            <w:noProof/>
          </w:rPr>
          <w:t>1</w:t>
        </w:r>
        <w:r w:rsidRPr="006B2C87">
          <w:rPr>
            <w:rStyle w:val="Numeropagina"/>
            <w:rFonts w:ascii="Garamond" w:hAnsi="Garamond"/>
          </w:rPr>
          <w:fldChar w:fldCharType="end"/>
        </w:r>
      </w:p>
    </w:sdtContent>
  </w:sdt>
  <w:p w14:paraId="48F3CE88" w14:textId="77777777" w:rsidR="00A0031A" w:rsidRDefault="00A0031A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B49C1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CB205E"/>
    <w:multiLevelType w:val="hybridMultilevel"/>
    <w:tmpl w:val="6A2A3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3A24"/>
    <w:multiLevelType w:val="hybridMultilevel"/>
    <w:tmpl w:val="6EE231E8"/>
    <w:lvl w:ilvl="0" w:tplc="EEB0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8E2498">
      <w:start w:val="1"/>
      <w:numFmt w:val="lowerLetter"/>
      <w:lvlText w:val="%2."/>
      <w:lvlJc w:val="left"/>
      <w:pPr>
        <w:ind w:left="1440" w:hanging="360"/>
      </w:pPr>
    </w:lvl>
    <w:lvl w:ilvl="2" w:tplc="5B5C4FDA">
      <w:start w:val="1"/>
      <w:numFmt w:val="lowerRoman"/>
      <w:lvlText w:val="%3."/>
      <w:lvlJc w:val="right"/>
      <w:pPr>
        <w:ind w:left="2160" w:hanging="180"/>
      </w:pPr>
    </w:lvl>
    <w:lvl w:ilvl="3" w:tplc="B1E0782C">
      <w:start w:val="1"/>
      <w:numFmt w:val="decimal"/>
      <w:lvlText w:val="%4."/>
      <w:lvlJc w:val="left"/>
      <w:pPr>
        <w:ind w:left="2880" w:hanging="360"/>
      </w:pPr>
    </w:lvl>
    <w:lvl w:ilvl="4" w:tplc="B2F03D88">
      <w:start w:val="1"/>
      <w:numFmt w:val="lowerLetter"/>
      <w:lvlText w:val="%5."/>
      <w:lvlJc w:val="left"/>
      <w:pPr>
        <w:ind w:left="3600" w:hanging="360"/>
      </w:pPr>
    </w:lvl>
    <w:lvl w:ilvl="5" w:tplc="F5F6A8E2">
      <w:start w:val="1"/>
      <w:numFmt w:val="lowerRoman"/>
      <w:lvlText w:val="%6."/>
      <w:lvlJc w:val="right"/>
      <w:pPr>
        <w:ind w:left="4320" w:hanging="180"/>
      </w:pPr>
    </w:lvl>
    <w:lvl w:ilvl="6" w:tplc="56D480EC">
      <w:start w:val="1"/>
      <w:numFmt w:val="decimal"/>
      <w:lvlText w:val="%7."/>
      <w:lvlJc w:val="left"/>
      <w:pPr>
        <w:ind w:left="5040" w:hanging="360"/>
      </w:pPr>
    </w:lvl>
    <w:lvl w:ilvl="7" w:tplc="44109EEC">
      <w:start w:val="1"/>
      <w:numFmt w:val="lowerLetter"/>
      <w:lvlText w:val="%8."/>
      <w:lvlJc w:val="left"/>
      <w:pPr>
        <w:ind w:left="5760" w:hanging="360"/>
      </w:pPr>
    </w:lvl>
    <w:lvl w:ilvl="8" w:tplc="6E2ABA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D25F2"/>
    <w:multiLevelType w:val="hybridMultilevel"/>
    <w:tmpl w:val="E24ADC8C"/>
    <w:lvl w:ilvl="0" w:tplc="5F3E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B8D772">
      <w:start w:val="1"/>
      <w:numFmt w:val="lowerLetter"/>
      <w:lvlText w:val="%2."/>
      <w:lvlJc w:val="left"/>
      <w:pPr>
        <w:ind w:left="1440" w:hanging="360"/>
      </w:pPr>
    </w:lvl>
    <w:lvl w:ilvl="2" w:tplc="AE4E6782">
      <w:start w:val="1"/>
      <w:numFmt w:val="lowerRoman"/>
      <w:lvlText w:val="%3."/>
      <w:lvlJc w:val="right"/>
      <w:pPr>
        <w:ind w:left="2160" w:hanging="180"/>
      </w:pPr>
    </w:lvl>
    <w:lvl w:ilvl="3" w:tplc="4C84BBCA">
      <w:start w:val="1"/>
      <w:numFmt w:val="decimal"/>
      <w:lvlText w:val="%4."/>
      <w:lvlJc w:val="left"/>
      <w:pPr>
        <w:ind w:left="2880" w:hanging="360"/>
      </w:pPr>
    </w:lvl>
    <w:lvl w:ilvl="4" w:tplc="E09A3894">
      <w:start w:val="1"/>
      <w:numFmt w:val="lowerLetter"/>
      <w:lvlText w:val="%5."/>
      <w:lvlJc w:val="left"/>
      <w:pPr>
        <w:ind w:left="3600" w:hanging="360"/>
      </w:pPr>
    </w:lvl>
    <w:lvl w:ilvl="5" w:tplc="DF068038">
      <w:start w:val="1"/>
      <w:numFmt w:val="lowerRoman"/>
      <w:lvlText w:val="%6."/>
      <w:lvlJc w:val="right"/>
      <w:pPr>
        <w:ind w:left="4320" w:hanging="180"/>
      </w:pPr>
    </w:lvl>
    <w:lvl w:ilvl="6" w:tplc="89EED21A">
      <w:start w:val="1"/>
      <w:numFmt w:val="decimal"/>
      <w:lvlText w:val="%7."/>
      <w:lvlJc w:val="left"/>
      <w:pPr>
        <w:ind w:left="5040" w:hanging="360"/>
      </w:pPr>
    </w:lvl>
    <w:lvl w:ilvl="7" w:tplc="BE5C4604">
      <w:start w:val="1"/>
      <w:numFmt w:val="lowerLetter"/>
      <w:lvlText w:val="%8."/>
      <w:lvlJc w:val="left"/>
      <w:pPr>
        <w:ind w:left="5760" w:hanging="360"/>
      </w:pPr>
    </w:lvl>
    <w:lvl w:ilvl="8" w:tplc="545CC7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7BFE"/>
    <w:multiLevelType w:val="hybridMultilevel"/>
    <w:tmpl w:val="B16275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E2C1B"/>
    <w:multiLevelType w:val="hybridMultilevel"/>
    <w:tmpl w:val="92B24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308"/>
    <w:multiLevelType w:val="hybridMultilevel"/>
    <w:tmpl w:val="834A2C14"/>
    <w:lvl w:ilvl="0" w:tplc="86200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CF4F0">
      <w:start w:val="1"/>
      <w:numFmt w:val="lowerLetter"/>
      <w:lvlText w:val="%2."/>
      <w:lvlJc w:val="left"/>
      <w:pPr>
        <w:ind w:left="1440" w:hanging="360"/>
      </w:pPr>
    </w:lvl>
    <w:lvl w:ilvl="2" w:tplc="1F1270FE">
      <w:start w:val="1"/>
      <w:numFmt w:val="lowerRoman"/>
      <w:lvlText w:val="%3."/>
      <w:lvlJc w:val="right"/>
      <w:pPr>
        <w:ind w:left="2160" w:hanging="180"/>
      </w:pPr>
    </w:lvl>
    <w:lvl w:ilvl="3" w:tplc="500C5A34">
      <w:start w:val="1"/>
      <w:numFmt w:val="decimal"/>
      <w:lvlText w:val="%4."/>
      <w:lvlJc w:val="left"/>
      <w:pPr>
        <w:ind w:left="2880" w:hanging="360"/>
      </w:pPr>
    </w:lvl>
    <w:lvl w:ilvl="4" w:tplc="E4D43C92">
      <w:start w:val="1"/>
      <w:numFmt w:val="lowerLetter"/>
      <w:lvlText w:val="%5."/>
      <w:lvlJc w:val="left"/>
      <w:pPr>
        <w:ind w:left="3600" w:hanging="360"/>
      </w:pPr>
    </w:lvl>
    <w:lvl w:ilvl="5" w:tplc="01F2E854">
      <w:start w:val="1"/>
      <w:numFmt w:val="lowerRoman"/>
      <w:lvlText w:val="%6."/>
      <w:lvlJc w:val="right"/>
      <w:pPr>
        <w:ind w:left="4320" w:hanging="180"/>
      </w:pPr>
    </w:lvl>
    <w:lvl w:ilvl="6" w:tplc="913044DE">
      <w:start w:val="1"/>
      <w:numFmt w:val="decimal"/>
      <w:lvlText w:val="%7."/>
      <w:lvlJc w:val="left"/>
      <w:pPr>
        <w:ind w:left="5040" w:hanging="360"/>
      </w:pPr>
    </w:lvl>
    <w:lvl w:ilvl="7" w:tplc="47BC7D78">
      <w:start w:val="1"/>
      <w:numFmt w:val="lowerLetter"/>
      <w:lvlText w:val="%8."/>
      <w:lvlJc w:val="left"/>
      <w:pPr>
        <w:ind w:left="5760" w:hanging="360"/>
      </w:pPr>
    </w:lvl>
    <w:lvl w:ilvl="8" w:tplc="D0AAAD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303F0"/>
    <w:multiLevelType w:val="hybridMultilevel"/>
    <w:tmpl w:val="85B0328A"/>
    <w:lvl w:ilvl="0" w:tplc="65B2D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A6F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CE9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244B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54C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2E7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609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C2F4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FE6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95B64"/>
    <w:multiLevelType w:val="hybridMultilevel"/>
    <w:tmpl w:val="07384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E2A12"/>
    <w:multiLevelType w:val="hybridMultilevel"/>
    <w:tmpl w:val="75E08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D4DCE"/>
    <w:multiLevelType w:val="hybridMultilevel"/>
    <w:tmpl w:val="15C6D21E"/>
    <w:lvl w:ilvl="0" w:tplc="64267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EEE2A">
      <w:start w:val="1"/>
      <w:numFmt w:val="lowerLetter"/>
      <w:lvlText w:val="%2."/>
      <w:lvlJc w:val="left"/>
      <w:pPr>
        <w:ind w:left="1440" w:hanging="360"/>
      </w:pPr>
    </w:lvl>
    <w:lvl w:ilvl="2" w:tplc="81CA8B36">
      <w:start w:val="1"/>
      <w:numFmt w:val="lowerRoman"/>
      <w:lvlText w:val="%3."/>
      <w:lvlJc w:val="right"/>
      <w:pPr>
        <w:ind w:left="2160" w:hanging="180"/>
      </w:pPr>
    </w:lvl>
    <w:lvl w:ilvl="3" w:tplc="0AF0D516">
      <w:start w:val="1"/>
      <w:numFmt w:val="decimal"/>
      <w:lvlText w:val="%4."/>
      <w:lvlJc w:val="left"/>
      <w:pPr>
        <w:ind w:left="2880" w:hanging="360"/>
      </w:pPr>
    </w:lvl>
    <w:lvl w:ilvl="4" w:tplc="322ADCE0">
      <w:start w:val="1"/>
      <w:numFmt w:val="lowerLetter"/>
      <w:lvlText w:val="%5."/>
      <w:lvlJc w:val="left"/>
      <w:pPr>
        <w:ind w:left="3600" w:hanging="360"/>
      </w:pPr>
    </w:lvl>
    <w:lvl w:ilvl="5" w:tplc="3F82AF84">
      <w:start w:val="1"/>
      <w:numFmt w:val="lowerRoman"/>
      <w:lvlText w:val="%6."/>
      <w:lvlJc w:val="right"/>
      <w:pPr>
        <w:ind w:left="4320" w:hanging="180"/>
      </w:pPr>
    </w:lvl>
    <w:lvl w:ilvl="6" w:tplc="E836F0E4">
      <w:start w:val="1"/>
      <w:numFmt w:val="decimal"/>
      <w:lvlText w:val="%7."/>
      <w:lvlJc w:val="left"/>
      <w:pPr>
        <w:ind w:left="5040" w:hanging="360"/>
      </w:pPr>
    </w:lvl>
    <w:lvl w:ilvl="7" w:tplc="DC58B5E4">
      <w:start w:val="1"/>
      <w:numFmt w:val="lowerLetter"/>
      <w:lvlText w:val="%8."/>
      <w:lvlJc w:val="left"/>
      <w:pPr>
        <w:ind w:left="5760" w:hanging="360"/>
      </w:pPr>
    </w:lvl>
    <w:lvl w:ilvl="8" w:tplc="9B802D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29CA"/>
    <w:multiLevelType w:val="hybridMultilevel"/>
    <w:tmpl w:val="C374C2E4"/>
    <w:lvl w:ilvl="0" w:tplc="4BDA7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8F79A">
      <w:start w:val="1"/>
      <w:numFmt w:val="lowerLetter"/>
      <w:lvlText w:val="%2."/>
      <w:lvlJc w:val="left"/>
      <w:pPr>
        <w:ind w:left="1440" w:hanging="360"/>
      </w:pPr>
    </w:lvl>
    <w:lvl w:ilvl="2" w:tplc="8526ACDC">
      <w:start w:val="1"/>
      <w:numFmt w:val="lowerRoman"/>
      <w:lvlText w:val="%3."/>
      <w:lvlJc w:val="right"/>
      <w:pPr>
        <w:ind w:left="2160" w:hanging="180"/>
      </w:pPr>
    </w:lvl>
    <w:lvl w:ilvl="3" w:tplc="08B451D4">
      <w:start w:val="1"/>
      <w:numFmt w:val="decimal"/>
      <w:lvlText w:val="%4."/>
      <w:lvlJc w:val="left"/>
      <w:pPr>
        <w:ind w:left="2880" w:hanging="360"/>
      </w:pPr>
    </w:lvl>
    <w:lvl w:ilvl="4" w:tplc="BB9A840E">
      <w:start w:val="1"/>
      <w:numFmt w:val="lowerLetter"/>
      <w:lvlText w:val="%5."/>
      <w:lvlJc w:val="left"/>
      <w:pPr>
        <w:ind w:left="3600" w:hanging="360"/>
      </w:pPr>
    </w:lvl>
    <w:lvl w:ilvl="5" w:tplc="81AC20A4">
      <w:start w:val="1"/>
      <w:numFmt w:val="lowerRoman"/>
      <w:lvlText w:val="%6."/>
      <w:lvlJc w:val="right"/>
      <w:pPr>
        <w:ind w:left="4320" w:hanging="180"/>
      </w:pPr>
    </w:lvl>
    <w:lvl w:ilvl="6" w:tplc="7390EE78">
      <w:start w:val="1"/>
      <w:numFmt w:val="decimal"/>
      <w:lvlText w:val="%7."/>
      <w:lvlJc w:val="left"/>
      <w:pPr>
        <w:ind w:left="5040" w:hanging="360"/>
      </w:pPr>
    </w:lvl>
    <w:lvl w:ilvl="7" w:tplc="1B92F3A2">
      <w:start w:val="1"/>
      <w:numFmt w:val="lowerLetter"/>
      <w:lvlText w:val="%8."/>
      <w:lvlJc w:val="left"/>
      <w:pPr>
        <w:ind w:left="5760" w:hanging="360"/>
      </w:pPr>
    </w:lvl>
    <w:lvl w:ilvl="8" w:tplc="34E8F3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76668"/>
    <w:multiLevelType w:val="hybridMultilevel"/>
    <w:tmpl w:val="DFBA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F6ADA"/>
    <w:multiLevelType w:val="hybridMultilevel"/>
    <w:tmpl w:val="0D8C1CFE"/>
    <w:lvl w:ilvl="0" w:tplc="013A75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A35A4"/>
    <w:multiLevelType w:val="hybridMultilevel"/>
    <w:tmpl w:val="1B96D09A"/>
    <w:lvl w:ilvl="0" w:tplc="4F643BF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DCE49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E5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0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7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4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0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0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7019C"/>
    <w:multiLevelType w:val="hybridMultilevel"/>
    <w:tmpl w:val="F272AD2C"/>
    <w:lvl w:ilvl="0" w:tplc="1B503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30EB26">
      <w:start w:val="1"/>
      <w:numFmt w:val="lowerLetter"/>
      <w:lvlText w:val="%2."/>
      <w:lvlJc w:val="left"/>
      <w:pPr>
        <w:ind w:left="1440" w:hanging="360"/>
      </w:pPr>
    </w:lvl>
    <w:lvl w:ilvl="2" w:tplc="B00C65E8">
      <w:start w:val="1"/>
      <w:numFmt w:val="lowerRoman"/>
      <w:lvlText w:val="%3."/>
      <w:lvlJc w:val="right"/>
      <w:pPr>
        <w:ind w:left="2160" w:hanging="180"/>
      </w:pPr>
    </w:lvl>
    <w:lvl w:ilvl="3" w:tplc="10BC5C98">
      <w:start w:val="1"/>
      <w:numFmt w:val="decimal"/>
      <w:lvlText w:val="%4."/>
      <w:lvlJc w:val="left"/>
      <w:pPr>
        <w:ind w:left="2880" w:hanging="360"/>
      </w:pPr>
    </w:lvl>
    <w:lvl w:ilvl="4" w:tplc="C57A7DD0">
      <w:start w:val="1"/>
      <w:numFmt w:val="lowerLetter"/>
      <w:lvlText w:val="%5."/>
      <w:lvlJc w:val="left"/>
      <w:pPr>
        <w:ind w:left="3600" w:hanging="360"/>
      </w:pPr>
    </w:lvl>
    <w:lvl w:ilvl="5" w:tplc="10C48984">
      <w:start w:val="1"/>
      <w:numFmt w:val="lowerRoman"/>
      <w:lvlText w:val="%6."/>
      <w:lvlJc w:val="right"/>
      <w:pPr>
        <w:ind w:left="4320" w:hanging="180"/>
      </w:pPr>
    </w:lvl>
    <w:lvl w:ilvl="6" w:tplc="01C08FA2">
      <w:start w:val="1"/>
      <w:numFmt w:val="decimal"/>
      <w:lvlText w:val="%7."/>
      <w:lvlJc w:val="left"/>
      <w:pPr>
        <w:ind w:left="5040" w:hanging="360"/>
      </w:pPr>
    </w:lvl>
    <w:lvl w:ilvl="7" w:tplc="DAD01C34">
      <w:start w:val="1"/>
      <w:numFmt w:val="lowerLetter"/>
      <w:lvlText w:val="%8."/>
      <w:lvlJc w:val="left"/>
      <w:pPr>
        <w:ind w:left="5760" w:hanging="360"/>
      </w:pPr>
    </w:lvl>
    <w:lvl w:ilvl="8" w:tplc="43CA0C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12CDB"/>
    <w:multiLevelType w:val="hybridMultilevel"/>
    <w:tmpl w:val="38988DC4"/>
    <w:lvl w:ilvl="0" w:tplc="228A70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2E2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0E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43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A6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2B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2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6C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F1131"/>
    <w:multiLevelType w:val="hybridMultilevel"/>
    <w:tmpl w:val="FFFFFFFF"/>
    <w:lvl w:ilvl="0" w:tplc="348AEE2E">
      <w:numFmt w:val="bullet"/>
      <w:lvlText w:val=""/>
      <w:lvlJc w:val="left"/>
      <w:pPr>
        <w:ind w:left="5265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23" w15:restartNumberingAfterBreak="0">
    <w:nsid w:val="680A2344"/>
    <w:multiLevelType w:val="hybridMultilevel"/>
    <w:tmpl w:val="4BFA13F8"/>
    <w:lvl w:ilvl="0" w:tplc="7F846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650D8">
      <w:start w:val="1"/>
      <w:numFmt w:val="lowerLetter"/>
      <w:lvlText w:val="%2."/>
      <w:lvlJc w:val="left"/>
      <w:pPr>
        <w:ind w:left="1440" w:hanging="360"/>
      </w:pPr>
    </w:lvl>
    <w:lvl w:ilvl="2" w:tplc="F572A844">
      <w:start w:val="1"/>
      <w:numFmt w:val="lowerRoman"/>
      <w:lvlText w:val="%3."/>
      <w:lvlJc w:val="right"/>
      <w:pPr>
        <w:ind w:left="2160" w:hanging="180"/>
      </w:pPr>
    </w:lvl>
    <w:lvl w:ilvl="3" w:tplc="ABD0F5C2">
      <w:start w:val="1"/>
      <w:numFmt w:val="decimal"/>
      <w:lvlText w:val="%4."/>
      <w:lvlJc w:val="left"/>
      <w:pPr>
        <w:ind w:left="2880" w:hanging="360"/>
      </w:pPr>
    </w:lvl>
    <w:lvl w:ilvl="4" w:tplc="A432B9EA">
      <w:start w:val="1"/>
      <w:numFmt w:val="lowerLetter"/>
      <w:lvlText w:val="%5."/>
      <w:lvlJc w:val="left"/>
      <w:pPr>
        <w:ind w:left="3600" w:hanging="360"/>
      </w:pPr>
    </w:lvl>
    <w:lvl w:ilvl="5" w:tplc="EE2A7D16">
      <w:start w:val="1"/>
      <w:numFmt w:val="lowerRoman"/>
      <w:lvlText w:val="%6."/>
      <w:lvlJc w:val="right"/>
      <w:pPr>
        <w:ind w:left="4320" w:hanging="180"/>
      </w:pPr>
    </w:lvl>
    <w:lvl w:ilvl="6" w:tplc="452656EA">
      <w:start w:val="1"/>
      <w:numFmt w:val="decimal"/>
      <w:lvlText w:val="%7."/>
      <w:lvlJc w:val="left"/>
      <w:pPr>
        <w:ind w:left="5040" w:hanging="360"/>
      </w:pPr>
    </w:lvl>
    <w:lvl w:ilvl="7" w:tplc="CDFCF4D0">
      <w:start w:val="1"/>
      <w:numFmt w:val="lowerLetter"/>
      <w:lvlText w:val="%8."/>
      <w:lvlJc w:val="left"/>
      <w:pPr>
        <w:ind w:left="5760" w:hanging="360"/>
      </w:pPr>
    </w:lvl>
    <w:lvl w:ilvl="8" w:tplc="6D42F43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335"/>
    <w:multiLevelType w:val="hybridMultilevel"/>
    <w:tmpl w:val="265E3F42"/>
    <w:lvl w:ilvl="0" w:tplc="370E6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882A0">
      <w:start w:val="1"/>
      <w:numFmt w:val="lowerLetter"/>
      <w:lvlText w:val="%2."/>
      <w:lvlJc w:val="left"/>
      <w:pPr>
        <w:ind w:left="1440" w:hanging="360"/>
      </w:pPr>
    </w:lvl>
    <w:lvl w:ilvl="2" w:tplc="958A4770">
      <w:start w:val="1"/>
      <w:numFmt w:val="lowerRoman"/>
      <w:lvlText w:val="%3."/>
      <w:lvlJc w:val="right"/>
      <w:pPr>
        <w:ind w:left="2160" w:hanging="180"/>
      </w:pPr>
    </w:lvl>
    <w:lvl w:ilvl="3" w:tplc="1318C956">
      <w:start w:val="1"/>
      <w:numFmt w:val="decimal"/>
      <w:lvlText w:val="%4."/>
      <w:lvlJc w:val="left"/>
      <w:pPr>
        <w:ind w:left="2880" w:hanging="360"/>
      </w:pPr>
    </w:lvl>
    <w:lvl w:ilvl="4" w:tplc="9DAA1F74">
      <w:start w:val="1"/>
      <w:numFmt w:val="lowerLetter"/>
      <w:lvlText w:val="%5."/>
      <w:lvlJc w:val="left"/>
      <w:pPr>
        <w:ind w:left="3600" w:hanging="360"/>
      </w:pPr>
    </w:lvl>
    <w:lvl w:ilvl="5" w:tplc="28AA82B4">
      <w:start w:val="1"/>
      <w:numFmt w:val="lowerRoman"/>
      <w:lvlText w:val="%6."/>
      <w:lvlJc w:val="right"/>
      <w:pPr>
        <w:ind w:left="4320" w:hanging="180"/>
      </w:pPr>
    </w:lvl>
    <w:lvl w:ilvl="6" w:tplc="CE6A3624">
      <w:start w:val="1"/>
      <w:numFmt w:val="decimal"/>
      <w:lvlText w:val="%7."/>
      <w:lvlJc w:val="left"/>
      <w:pPr>
        <w:ind w:left="5040" w:hanging="360"/>
      </w:pPr>
    </w:lvl>
    <w:lvl w:ilvl="7" w:tplc="53BCE3B6">
      <w:start w:val="1"/>
      <w:numFmt w:val="lowerLetter"/>
      <w:lvlText w:val="%8."/>
      <w:lvlJc w:val="left"/>
      <w:pPr>
        <w:ind w:left="5760" w:hanging="360"/>
      </w:pPr>
    </w:lvl>
    <w:lvl w:ilvl="8" w:tplc="60644D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913D8"/>
    <w:multiLevelType w:val="hybridMultilevel"/>
    <w:tmpl w:val="8FA8B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8237">
    <w:abstractNumId w:val="21"/>
  </w:num>
  <w:num w:numId="2" w16cid:durableId="667825148">
    <w:abstractNumId w:val="12"/>
  </w:num>
  <w:num w:numId="3" w16cid:durableId="916866208">
    <w:abstractNumId w:val="8"/>
  </w:num>
  <w:num w:numId="4" w16cid:durableId="2078703202">
    <w:abstractNumId w:val="16"/>
  </w:num>
  <w:num w:numId="5" w16cid:durableId="922959811">
    <w:abstractNumId w:val="20"/>
  </w:num>
  <w:num w:numId="6" w16cid:durableId="1873496810">
    <w:abstractNumId w:val="19"/>
  </w:num>
  <w:num w:numId="7" w16cid:durableId="17898942">
    <w:abstractNumId w:val="7"/>
  </w:num>
  <w:num w:numId="8" w16cid:durableId="2055038109">
    <w:abstractNumId w:val="23"/>
  </w:num>
  <w:num w:numId="9" w16cid:durableId="1201238686">
    <w:abstractNumId w:val="15"/>
  </w:num>
  <w:num w:numId="10" w16cid:durableId="185293151">
    <w:abstractNumId w:val="11"/>
  </w:num>
  <w:num w:numId="11" w16cid:durableId="307252340">
    <w:abstractNumId w:val="24"/>
  </w:num>
  <w:num w:numId="12" w16cid:durableId="1114137294">
    <w:abstractNumId w:val="17"/>
  </w:num>
  <w:num w:numId="13" w16cid:durableId="1910722578">
    <w:abstractNumId w:val="6"/>
  </w:num>
  <w:num w:numId="14" w16cid:durableId="450172811">
    <w:abstractNumId w:val="25"/>
  </w:num>
  <w:num w:numId="15" w16cid:durableId="1985886420">
    <w:abstractNumId w:val="14"/>
  </w:num>
  <w:num w:numId="16" w16cid:durableId="246354540">
    <w:abstractNumId w:val="10"/>
  </w:num>
  <w:num w:numId="17" w16cid:durableId="1122963235">
    <w:abstractNumId w:val="13"/>
  </w:num>
  <w:num w:numId="18" w16cid:durableId="480121117">
    <w:abstractNumId w:val="9"/>
  </w:num>
  <w:num w:numId="19" w16cid:durableId="1625425902">
    <w:abstractNumId w:val="0"/>
  </w:num>
  <w:num w:numId="20" w16cid:durableId="1422725400">
    <w:abstractNumId w:val="1"/>
  </w:num>
  <w:num w:numId="21" w16cid:durableId="42222434">
    <w:abstractNumId w:val="2"/>
  </w:num>
  <w:num w:numId="22" w16cid:durableId="1055349867">
    <w:abstractNumId w:val="3"/>
  </w:num>
  <w:num w:numId="23" w16cid:durableId="1312713902">
    <w:abstractNumId w:val="4"/>
  </w:num>
  <w:num w:numId="24" w16cid:durableId="1853031200">
    <w:abstractNumId w:val="18"/>
  </w:num>
  <w:num w:numId="25" w16cid:durableId="525599007">
    <w:abstractNumId w:val="5"/>
  </w:num>
  <w:num w:numId="26" w16cid:durableId="9393391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A"/>
    <w:rsid w:val="00001522"/>
    <w:rsid w:val="000065B0"/>
    <w:rsid w:val="00007F5B"/>
    <w:rsid w:val="0001039B"/>
    <w:rsid w:val="00011391"/>
    <w:rsid w:val="000131BA"/>
    <w:rsid w:val="00014A43"/>
    <w:rsid w:val="00016C83"/>
    <w:rsid w:val="000214AF"/>
    <w:rsid w:val="00027518"/>
    <w:rsid w:val="0003171E"/>
    <w:rsid w:val="00031A36"/>
    <w:rsid w:val="00032740"/>
    <w:rsid w:val="00036159"/>
    <w:rsid w:val="00054339"/>
    <w:rsid w:val="00054857"/>
    <w:rsid w:val="00055265"/>
    <w:rsid w:val="00056CBA"/>
    <w:rsid w:val="000575FE"/>
    <w:rsid w:val="00057756"/>
    <w:rsid w:val="00062160"/>
    <w:rsid w:val="00067313"/>
    <w:rsid w:val="00067BC9"/>
    <w:rsid w:val="00073A97"/>
    <w:rsid w:val="000772D2"/>
    <w:rsid w:val="000779FF"/>
    <w:rsid w:val="00080C8C"/>
    <w:rsid w:val="00080EF7"/>
    <w:rsid w:val="00081118"/>
    <w:rsid w:val="000852AA"/>
    <w:rsid w:val="0008597C"/>
    <w:rsid w:val="00095A11"/>
    <w:rsid w:val="000A263C"/>
    <w:rsid w:val="000A3698"/>
    <w:rsid w:val="000B50E7"/>
    <w:rsid w:val="000B529D"/>
    <w:rsid w:val="000C7364"/>
    <w:rsid w:val="000D5743"/>
    <w:rsid w:val="000D64D7"/>
    <w:rsid w:val="000E1C30"/>
    <w:rsid w:val="000E720B"/>
    <w:rsid w:val="000F2609"/>
    <w:rsid w:val="000F5E31"/>
    <w:rsid w:val="00103E6A"/>
    <w:rsid w:val="00104B76"/>
    <w:rsid w:val="00106CA1"/>
    <w:rsid w:val="00110B8F"/>
    <w:rsid w:val="001222B8"/>
    <w:rsid w:val="0012649C"/>
    <w:rsid w:val="00126DD3"/>
    <w:rsid w:val="00127532"/>
    <w:rsid w:val="001315E8"/>
    <w:rsid w:val="001326C5"/>
    <w:rsid w:val="00135365"/>
    <w:rsid w:val="00135484"/>
    <w:rsid w:val="001367F7"/>
    <w:rsid w:val="00147415"/>
    <w:rsid w:val="00150FA5"/>
    <w:rsid w:val="001544D5"/>
    <w:rsid w:val="0015616D"/>
    <w:rsid w:val="00156F48"/>
    <w:rsid w:val="00163564"/>
    <w:rsid w:val="001658FE"/>
    <w:rsid w:val="00171D51"/>
    <w:rsid w:val="00176D20"/>
    <w:rsid w:val="001829D6"/>
    <w:rsid w:val="001848CF"/>
    <w:rsid w:val="00187FCA"/>
    <w:rsid w:val="00190537"/>
    <w:rsid w:val="00193342"/>
    <w:rsid w:val="00194FEE"/>
    <w:rsid w:val="001A172E"/>
    <w:rsid w:val="001A65CC"/>
    <w:rsid w:val="001A75B3"/>
    <w:rsid w:val="001B186E"/>
    <w:rsid w:val="001B3034"/>
    <w:rsid w:val="001B39D2"/>
    <w:rsid w:val="001C3701"/>
    <w:rsid w:val="001C52EF"/>
    <w:rsid w:val="001C541D"/>
    <w:rsid w:val="001D0016"/>
    <w:rsid w:val="001D19E5"/>
    <w:rsid w:val="001E3D7F"/>
    <w:rsid w:val="001E64A3"/>
    <w:rsid w:val="001E6FB3"/>
    <w:rsid w:val="001F647B"/>
    <w:rsid w:val="002007DC"/>
    <w:rsid w:val="00204C48"/>
    <w:rsid w:val="002067A0"/>
    <w:rsid w:val="002142D2"/>
    <w:rsid w:val="0021593B"/>
    <w:rsid w:val="002234A8"/>
    <w:rsid w:val="00224229"/>
    <w:rsid w:val="00225CAE"/>
    <w:rsid w:val="00226286"/>
    <w:rsid w:val="00226423"/>
    <w:rsid w:val="00230206"/>
    <w:rsid w:val="00231B7A"/>
    <w:rsid w:val="00234878"/>
    <w:rsid w:val="00247CC7"/>
    <w:rsid w:val="00250D99"/>
    <w:rsid w:val="00253C4A"/>
    <w:rsid w:val="00260A43"/>
    <w:rsid w:val="002669A1"/>
    <w:rsid w:val="00273A29"/>
    <w:rsid w:val="00274380"/>
    <w:rsid w:val="00275F47"/>
    <w:rsid w:val="00277A69"/>
    <w:rsid w:val="00284601"/>
    <w:rsid w:val="002846ED"/>
    <w:rsid w:val="00287334"/>
    <w:rsid w:val="00290ED3"/>
    <w:rsid w:val="00292CDD"/>
    <w:rsid w:val="00293FE6"/>
    <w:rsid w:val="002948F1"/>
    <w:rsid w:val="002961FF"/>
    <w:rsid w:val="002A0E9E"/>
    <w:rsid w:val="002A3E95"/>
    <w:rsid w:val="002A7906"/>
    <w:rsid w:val="002B0314"/>
    <w:rsid w:val="002C3F95"/>
    <w:rsid w:val="002C4F30"/>
    <w:rsid w:val="002C6396"/>
    <w:rsid w:val="002C6533"/>
    <w:rsid w:val="002D4E2C"/>
    <w:rsid w:val="002D4F55"/>
    <w:rsid w:val="002D7439"/>
    <w:rsid w:val="002E6D1A"/>
    <w:rsid w:val="002E72D4"/>
    <w:rsid w:val="002F05B1"/>
    <w:rsid w:val="002F1C95"/>
    <w:rsid w:val="002F2137"/>
    <w:rsid w:val="002F4595"/>
    <w:rsid w:val="00301BBE"/>
    <w:rsid w:val="00302252"/>
    <w:rsid w:val="00302946"/>
    <w:rsid w:val="00302A27"/>
    <w:rsid w:val="00303A0E"/>
    <w:rsid w:val="00303ABE"/>
    <w:rsid w:val="0031449C"/>
    <w:rsid w:val="00317D24"/>
    <w:rsid w:val="00323BDF"/>
    <w:rsid w:val="00330B75"/>
    <w:rsid w:val="003329D1"/>
    <w:rsid w:val="0033357E"/>
    <w:rsid w:val="00334D37"/>
    <w:rsid w:val="003350AF"/>
    <w:rsid w:val="003357FF"/>
    <w:rsid w:val="00345122"/>
    <w:rsid w:val="00346633"/>
    <w:rsid w:val="00346F25"/>
    <w:rsid w:val="00354B3D"/>
    <w:rsid w:val="00363A32"/>
    <w:rsid w:val="00364951"/>
    <w:rsid w:val="0037520A"/>
    <w:rsid w:val="003818D1"/>
    <w:rsid w:val="0038542E"/>
    <w:rsid w:val="00386BB0"/>
    <w:rsid w:val="00390D69"/>
    <w:rsid w:val="00393971"/>
    <w:rsid w:val="00394468"/>
    <w:rsid w:val="00397A9F"/>
    <w:rsid w:val="003A0C4E"/>
    <w:rsid w:val="003B102E"/>
    <w:rsid w:val="003C2215"/>
    <w:rsid w:val="003C22C2"/>
    <w:rsid w:val="003C290E"/>
    <w:rsid w:val="003C63D6"/>
    <w:rsid w:val="003D59F7"/>
    <w:rsid w:val="003D79D1"/>
    <w:rsid w:val="003E06E3"/>
    <w:rsid w:val="003E1631"/>
    <w:rsid w:val="003E23E1"/>
    <w:rsid w:val="003E5697"/>
    <w:rsid w:val="003E57F8"/>
    <w:rsid w:val="003E5CD1"/>
    <w:rsid w:val="003F5BBC"/>
    <w:rsid w:val="003F70C2"/>
    <w:rsid w:val="003F79BF"/>
    <w:rsid w:val="00400078"/>
    <w:rsid w:val="00403C43"/>
    <w:rsid w:val="00411AA0"/>
    <w:rsid w:val="00416118"/>
    <w:rsid w:val="00421AB3"/>
    <w:rsid w:val="00422EE2"/>
    <w:rsid w:val="0042606E"/>
    <w:rsid w:val="00430616"/>
    <w:rsid w:val="0043527C"/>
    <w:rsid w:val="004354C4"/>
    <w:rsid w:val="00440FE2"/>
    <w:rsid w:val="0044286D"/>
    <w:rsid w:val="00442ADA"/>
    <w:rsid w:val="00442CC1"/>
    <w:rsid w:val="004462F0"/>
    <w:rsid w:val="0044688D"/>
    <w:rsid w:val="004508E0"/>
    <w:rsid w:val="0045134D"/>
    <w:rsid w:val="00453693"/>
    <w:rsid w:val="00457E75"/>
    <w:rsid w:val="004616B9"/>
    <w:rsid w:val="00463D71"/>
    <w:rsid w:val="00470B6D"/>
    <w:rsid w:val="0047331B"/>
    <w:rsid w:val="00485817"/>
    <w:rsid w:val="00487FB1"/>
    <w:rsid w:val="004927F3"/>
    <w:rsid w:val="00495BD1"/>
    <w:rsid w:val="004A3790"/>
    <w:rsid w:val="004B04B1"/>
    <w:rsid w:val="004B6F32"/>
    <w:rsid w:val="004C4B3F"/>
    <w:rsid w:val="004C55F7"/>
    <w:rsid w:val="004C6BDB"/>
    <w:rsid w:val="004C6CE9"/>
    <w:rsid w:val="004E08CA"/>
    <w:rsid w:val="004E2B69"/>
    <w:rsid w:val="004E40EC"/>
    <w:rsid w:val="004E54FD"/>
    <w:rsid w:val="004E5798"/>
    <w:rsid w:val="004E6A76"/>
    <w:rsid w:val="004F1859"/>
    <w:rsid w:val="00503E0A"/>
    <w:rsid w:val="00505D77"/>
    <w:rsid w:val="00507468"/>
    <w:rsid w:val="00507499"/>
    <w:rsid w:val="0051239A"/>
    <w:rsid w:val="00515512"/>
    <w:rsid w:val="00525DBC"/>
    <w:rsid w:val="0053017D"/>
    <w:rsid w:val="0053225F"/>
    <w:rsid w:val="00547141"/>
    <w:rsid w:val="00553751"/>
    <w:rsid w:val="00557860"/>
    <w:rsid w:val="00571022"/>
    <w:rsid w:val="00571678"/>
    <w:rsid w:val="00571A2D"/>
    <w:rsid w:val="00582D8C"/>
    <w:rsid w:val="00583BBB"/>
    <w:rsid w:val="005846C3"/>
    <w:rsid w:val="00595FAE"/>
    <w:rsid w:val="00596DF3"/>
    <w:rsid w:val="005B50C4"/>
    <w:rsid w:val="005B55EE"/>
    <w:rsid w:val="005C0286"/>
    <w:rsid w:val="005C7A48"/>
    <w:rsid w:val="005D086B"/>
    <w:rsid w:val="005D4CC6"/>
    <w:rsid w:val="005E6884"/>
    <w:rsid w:val="005F21A4"/>
    <w:rsid w:val="005F3523"/>
    <w:rsid w:val="005F4E2C"/>
    <w:rsid w:val="00602703"/>
    <w:rsid w:val="00603D5A"/>
    <w:rsid w:val="0060503D"/>
    <w:rsid w:val="0061034E"/>
    <w:rsid w:val="00610474"/>
    <w:rsid w:val="00611EC3"/>
    <w:rsid w:val="00613FE7"/>
    <w:rsid w:val="00616197"/>
    <w:rsid w:val="006225C7"/>
    <w:rsid w:val="00631806"/>
    <w:rsid w:val="006346A3"/>
    <w:rsid w:val="00634BF7"/>
    <w:rsid w:val="00643A74"/>
    <w:rsid w:val="00644D07"/>
    <w:rsid w:val="006575B6"/>
    <w:rsid w:val="006600F0"/>
    <w:rsid w:val="00665742"/>
    <w:rsid w:val="00692205"/>
    <w:rsid w:val="00694346"/>
    <w:rsid w:val="00697A8C"/>
    <w:rsid w:val="006B1154"/>
    <w:rsid w:val="006B2C87"/>
    <w:rsid w:val="006B49A0"/>
    <w:rsid w:val="006B517E"/>
    <w:rsid w:val="006B5AC8"/>
    <w:rsid w:val="006B620F"/>
    <w:rsid w:val="006C1D21"/>
    <w:rsid w:val="006C66DE"/>
    <w:rsid w:val="006C6B43"/>
    <w:rsid w:val="006C770A"/>
    <w:rsid w:val="006D5B4A"/>
    <w:rsid w:val="006E01B9"/>
    <w:rsid w:val="006E473C"/>
    <w:rsid w:val="006E6287"/>
    <w:rsid w:val="006E66D4"/>
    <w:rsid w:val="006E708C"/>
    <w:rsid w:val="006F303C"/>
    <w:rsid w:val="006F59AF"/>
    <w:rsid w:val="006F62A4"/>
    <w:rsid w:val="006F6C4D"/>
    <w:rsid w:val="006F7B09"/>
    <w:rsid w:val="00702446"/>
    <w:rsid w:val="0070248B"/>
    <w:rsid w:val="00705905"/>
    <w:rsid w:val="00705BF0"/>
    <w:rsid w:val="00714921"/>
    <w:rsid w:val="00715D70"/>
    <w:rsid w:val="007227B2"/>
    <w:rsid w:val="00725811"/>
    <w:rsid w:val="00727BEB"/>
    <w:rsid w:val="00727E3B"/>
    <w:rsid w:val="00733054"/>
    <w:rsid w:val="007353B1"/>
    <w:rsid w:val="00737F2A"/>
    <w:rsid w:val="00740F0A"/>
    <w:rsid w:val="00745FB7"/>
    <w:rsid w:val="0075051F"/>
    <w:rsid w:val="0076171C"/>
    <w:rsid w:val="00763FFA"/>
    <w:rsid w:val="00765C41"/>
    <w:rsid w:val="00772032"/>
    <w:rsid w:val="00775A27"/>
    <w:rsid w:val="00776DA3"/>
    <w:rsid w:val="00781346"/>
    <w:rsid w:val="00785486"/>
    <w:rsid w:val="00785CE4"/>
    <w:rsid w:val="00786E42"/>
    <w:rsid w:val="00792CD0"/>
    <w:rsid w:val="007957C9"/>
    <w:rsid w:val="00795FC4"/>
    <w:rsid w:val="007A5AE2"/>
    <w:rsid w:val="007A7AB2"/>
    <w:rsid w:val="007B00FE"/>
    <w:rsid w:val="007B185C"/>
    <w:rsid w:val="007C0736"/>
    <w:rsid w:val="007C1CAC"/>
    <w:rsid w:val="007C4868"/>
    <w:rsid w:val="007C6473"/>
    <w:rsid w:val="007D3E5C"/>
    <w:rsid w:val="007D726F"/>
    <w:rsid w:val="007D727F"/>
    <w:rsid w:val="007E0778"/>
    <w:rsid w:val="007E6530"/>
    <w:rsid w:val="007F0B43"/>
    <w:rsid w:val="0080129D"/>
    <w:rsid w:val="00802A47"/>
    <w:rsid w:val="0081345C"/>
    <w:rsid w:val="008208BF"/>
    <w:rsid w:val="00820CE9"/>
    <w:rsid w:val="00821867"/>
    <w:rsid w:val="00822E79"/>
    <w:rsid w:val="008252E6"/>
    <w:rsid w:val="00830DA6"/>
    <w:rsid w:val="00837424"/>
    <w:rsid w:val="00841DFB"/>
    <w:rsid w:val="00842BAE"/>
    <w:rsid w:val="008463C1"/>
    <w:rsid w:val="00846E3B"/>
    <w:rsid w:val="00852E92"/>
    <w:rsid w:val="00860C8C"/>
    <w:rsid w:val="00867FD9"/>
    <w:rsid w:val="00875AC4"/>
    <w:rsid w:val="00877ACC"/>
    <w:rsid w:val="00880897"/>
    <w:rsid w:val="00882562"/>
    <w:rsid w:val="0088473B"/>
    <w:rsid w:val="0088617F"/>
    <w:rsid w:val="00891084"/>
    <w:rsid w:val="008A1564"/>
    <w:rsid w:val="008A1618"/>
    <w:rsid w:val="008A273D"/>
    <w:rsid w:val="008B2323"/>
    <w:rsid w:val="008C25B8"/>
    <w:rsid w:val="008C3FA7"/>
    <w:rsid w:val="008C48D6"/>
    <w:rsid w:val="008C7A99"/>
    <w:rsid w:val="008C7E17"/>
    <w:rsid w:val="008D024E"/>
    <w:rsid w:val="008D27CA"/>
    <w:rsid w:val="008D40B7"/>
    <w:rsid w:val="008D5C4D"/>
    <w:rsid w:val="008D79B1"/>
    <w:rsid w:val="008E60DA"/>
    <w:rsid w:val="008E7293"/>
    <w:rsid w:val="008F135A"/>
    <w:rsid w:val="008F34EA"/>
    <w:rsid w:val="008F50AF"/>
    <w:rsid w:val="008F7693"/>
    <w:rsid w:val="00905149"/>
    <w:rsid w:val="00906C75"/>
    <w:rsid w:val="00907F9D"/>
    <w:rsid w:val="00915974"/>
    <w:rsid w:val="0091651D"/>
    <w:rsid w:val="00916548"/>
    <w:rsid w:val="00920DDF"/>
    <w:rsid w:val="009218E1"/>
    <w:rsid w:val="0093260C"/>
    <w:rsid w:val="009326D9"/>
    <w:rsid w:val="0093285F"/>
    <w:rsid w:val="009403FC"/>
    <w:rsid w:val="009417AA"/>
    <w:rsid w:val="0094280F"/>
    <w:rsid w:val="00944336"/>
    <w:rsid w:val="009452A9"/>
    <w:rsid w:val="009456F0"/>
    <w:rsid w:val="00947B88"/>
    <w:rsid w:val="00963200"/>
    <w:rsid w:val="00966B79"/>
    <w:rsid w:val="00983BA4"/>
    <w:rsid w:val="0098430D"/>
    <w:rsid w:val="00986D94"/>
    <w:rsid w:val="00987784"/>
    <w:rsid w:val="00991B57"/>
    <w:rsid w:val="0099315E"/>
    <w:rsid w:val="00994848"/>
    <w:rsid w:val="00994C2B"/>
    <w:rsid w:val="009B0593"/>
    <w:rsid w:val="009B538B"/>
    <w:rsid w:val="009B7245"/>
    <w:rsid w:val="009B78AB"/>
    <w:rsid w:val="009C0536"/>
    <w:rsid w:val="009C3458"/>
    <w:rsid w:val="009C3BA4"/>
    <w:rsid w:val="009C4272"/>
    <w:rsid w:val="009D1901"/>
    <w:rsid w:val="009D770B"/>
    <w:rsid w:val="009E225A"/>
    <w:rsid w:val="009E37A7"/>
    <w:rsid w:val="009E5C87"/>
    <w:rsid w:val="009E76CB"/>
    <w:rsid w:val="009F43CC"/>
    <w:rsid w:val="009F488B"/>
    <w:rsid w:val="00A0031A"/>
    <w:rsid w:val="00A01913"/>
    <w:rsid w:val="00A01E2A"/>
    <w:rsid w:val="00A04439"/>
    <w:rsid w:val="00A04F3D"/>
    <w:rsid w:val="00A07707"/>
    <w:rsid w:val="00A15933"/>
    <w:rsid w:val="00A173A2"/>
    <w:rsid w:val="00A22CC7"/>
    <w:rsid w:val="00A25DCF"/>
    <w:rsid w:val="00A3174C"/>
    <w:rsid w:val="00A35717"/>
    <w:rsid w:val="00A50EBC"/>
    <w:rsid w:val="00A51497"/>
    <w:rsid w:val="00A56BB7"/>
    <w:rsid w:val="00A600EB"/>
    <w:rsid w:val="00A611B2"/>
    <w:rsid w:val="00A65E99"/>
    <w:rsid w:val="00A72984"/>
    <w:rsid w:val="00A815CD"/>
    <w:rsid w:val="00A87A45"/>
    <w:rsid w:val="00A91A13"/>
    <w:rsid w:val="00A96A4C"/>
    <w:rsid w:val="00AA0CFC"/>
    <w:rsid w:val="00AA1A65"/>
    <w:rsid w:val="00AA1A92"/>
    <w:rsid w:val="00AA66D6"/>
    <w:rsid w:val="00AB2CEC"/>
    <w:rsid w:val="00AB4F42"/>
    <w:rsid w:val="00AC1D3B"/>
    <w:rsid w:val="00AC3D43"/>
    <w:rsid w:val="00AC4FAB"/>
    <w:rsid w:val="00AC63B4"/>
    <w:rsid w:val="00AD5C58"/>
    <w:rsid w:val="00AE2F45"/>
    <w:rsid w:val="00AE6A5F"/>
    <w:rsid w:val="00AE7ED8"/>
    <w:rsid w:val="00AF5FEA"/>
    <w:rsid w:val="00B0177F"/>
    <w:rsid w:val="00B02512"/>
    <w:rsid w:val="00B02D91"/>
    <w:rsid w:val="00B0643B"/>
    <w:rsid w:val="00B12EA6"/>
    <w:rsid w:val="00B14DD1"/>
    <w:rsid w:val="00B225D8"/>
    <w:rsid w:val="00B23C46"/>
    <w:rsid w:val="00B24B34"/>
    <w:rsid w:val="00B26ADB"/>
    <w:rsid w:val="00B31A53"/>
    <w:rsid w:val="00B3359C"/>
    <w:rsid w:val="00B40B99"/>
    <w:rsid w:val="00B550BF"/>
    <w:rsid w:val="00B55E53"/>
    <w:rsid w:val="00B56DE0"/>
    <w:rsid w:val="00B60B56"/>
    <w:rsid w:val="00B6244D"/>
    <w:rsid w:val="00B64A1F"/>
    <w:rsid w:val="00B67502"/>
    <w:rsid w:val="00B70F77"/>
    <w:rsid w:val="00B76395"/>
    <w:rsid w:val="00B77A6E"/>
    <w:rsid w:val="00B800E0"/>
    <w:rsid w:val="00B80AF8"/>
    <w:rsid w:val="00B835E8"/>
    <w:rsid w:val="00B856E8"/>
    <w:rsid w:val="00B87786"/>
    <w:rsid w:val="00B96365"/>
    <w:rsid w:val="00B9646F"/>
    <w:rsid w:val="00B973EF"/>
    <w:rsid w:val="00BA5C7B"/>
    <w:rsid w:val="00BA5D3C"/>
    <w:rsid w:val="00BA7A8A"/>
    <w:rsid w:val="00BA7D44"/>
    <w:rsid w:val="00BB0BDD"/>
    <w:rsid w:val="00BB2FD6"/>
    <w:rsid w:val="00BB69F2"/>
    <w:rsid w:val="00BB6C87"/>
    <w:rsid w:val="00BB78A9"/>
    <w:rsid w:val="00BB79FA"/>
    <w:rsid w:val="00BC2214"/>
    <w:rsid w:val="00BC2DB9"/>
    <w:rsid w:val="00BC346F"/>
    <w:rsid w:val="00BC39CD"/>
    <w:rsid w:val="00BC44B5"/>
    <w:rsid w:val="00BC46A2"/>
    <w:rsid w:val="00BC4C2D"/>
    <w:rsid w:val="00BD065C"/>
    <w:rsid w:val="00BD6CE4"/>
    <w:rsid w:val="00BE236E"/>
    <w:rsid w:val="00BE4414"/>
    <w:rsid w:val="00BE7A7E"/>
    <w:rsid w:val="00BF2FE5"/>
    <w:rsid w:val="00BF3AD5"/>
    <w:rsid w:val="00C0521B"/>
    <w:rsid w:val="00C058CA"/>
    <w:rsid w:val="00C06629"/>
    <w:rsid w:val="00C11D98"/>
    <w:rsid w:val="00C150ED"/>
    <w:rsid w:val="00C16469"/>
    <w:rsid w:val="00C20A95"/>
    <w:rsid w:val="00C21B2B"/>
    <w:rsid w:val="00C26D60"/>
    <w:rsid w:val="00C27626"/>
    <w:rsid w:val="00C33B0B"/>
    <w:rsid w:val="00C34FF1"/>
    <w:rsid w:val="00C3555C"/>
    <w:rsid w:val="00C37006"/>
    <w:rsid w:val="00C45AB0"/>
    <w:rsid w:val="00C4610C"/>
    <w:rsid w:val="00C563A0"/>
    <w:rsid w:val="00C57EF9"/>
    <w:rsid w:val="00C72480"/>
    <w:rsid w:val="00C763D3"/>
    <w:rsid w:val="00C8272F"/>
    <w:rsid w:val="00C82D99"/>
    <w:rsid w:val="00C90B15"/>
    <w:rsid w:val="00C91E46"/>
    <w:rsid w:val="00C9258E"/>
    <w:rsid w:val="00CA0659"/>
    <w:rsid w:val="00CA0A49"/>
    <w:rsid w:val="00CA23A7"/>
    <w:rsid w:val="00CA2BBA"/>
    <w:rsid w:val="00CB03D0"/>
    <w:rsid w:val="00CB0FB1"/>
    <w:rsid w:val="00CB4165"/>
    <w:rsid w:val="00CB5DDB"/>
    <w:rsid w:val="00CC3BA8"/>
    <w:rsid w:val="00CC713A"/>
    <w:rsid w:val="00CD12E8"/>
    <w:rsid w:val="00CD21D1"/>
    <w:rsid w:val="00CE545A"/>
    <w:rsid w:val="00CE6DF4"/>
    <w:rsid w:val="00CF061E"/>
    <w:rsid w:val="00CF1547"/>
    <w:rsid w:val="00CF4581"/>
    <w:rsid w:val="00CF7E82"/>
    <w:rsid w:val="00D000CB"/>
    <w:rsid w:val="00D02660"/>
    <w:rsid w:val="00D027F5"/>
    <w:rsid w:val="00D029A7"/>
    <w:rsid w:val="00D075DF"/>
    <w:rsid w:val="00D10F5A"/>
    <w:rsid w:val="00D21CD9"/>
    <w:rsid w:val="00D225E7"/>
    <w:rsid w:val="00D26D81"/>
    <w:rsid w:val="00D331F5"/>
    <w:rsid w:val="00D34A22"/>
    <w:rsid w:val="00D34F13"/>
    <w:rsid w:val="00D3581D"/>
    <w:rsid w:val="00D36F53"/>
    <w:rsid w:val="00D373AC"/>
    <w:rsid w:val="00D40822"/>
    <w:rsid w:val="00D43185"/>
    <w:rsid w:val="00D45D60"/>
    <w:rsid w:val="00D50299"/>
    <w:rsid w:val="00D52166"/>
    <w:rsid w:val="00D54E6F"/>
    <w:rsid w:val="00D559D6"/>
    <w:rsid w:val="00D60877"/>
    <w:rsid w:val="00D71BB8"/>
    <w:rsid w:val="00D7321C"/>
    <w:rsid w:val="00D733EF"/>
    <w:rsid w:val="00D8062F"/>
    <w:rsid w:val="00D825D5"/>
    <w:rsid w:val="00D83173"/>
    <w:rsid w:val="00D8619E"/>
    <w:rsid w:val="00D91938"/>
    <w:rsid w:val="00D92029"/>
    <w:rsid w:val="00D921AF"/>
    <w:rsid w:val="00DA060C"/>
    <w:rsid w:val="00DA1297"/>
    <w:rsid w:val="00DA5E7E"/>
    <w:rsid w:val="00DA7795"/>
    <w:rsid w:val="00DA7B1D"/>
    <w:rsid w:val="00DB28A7"/>
    <w:rsid w:val="00DB3DAB"/>
    <w:rsid w:val="00DB48C2"/>
    <w:rsid w:val="00DB507B"/>
    <w:rsid w:val="00DB6EA2"/>
    <w:rsid w:val="00DB72BE"/>
    <w:rsid w:val="00DC3603"/>
    <w:rsid w:val="00DC7F65"/>
    <w:rsid w:val="00DD0CED"/>
    <w:rsid w:val="00DD21BE"/>
    <w:rsid w:val="00DD6059"/>
    <w:rsid w:val="00DE29CA"/>
    <w:rsid w:val="00DE58A0"/>
    <w:rsid w:val="00E01548"/>
    <w:rsid w:val="00E07D0A"/>
    <w:rsid w:val="00E12293"/>
    <w:rsid w:val="00E136D6"/>
    <w:rsid w:val="00E16812"/>
    <w:rsid w:val="00E17CD2"/>
    <w:rsid w:val="00E30F43"/>
    <w:rsid w:val="00E45A85"/>
    <w:rsid w:val="00E47482"/>
    <w:rsid w:val="00E50060"/>
    <w:rsid w:val="00E52282"/>
    <w:rsid w:val="00E533BA"/>
    <w:rsid w:val="00E56478"/>
    <w:rsid w:val="00E60B05"/>
    <w:rsid w:val="00E63BF9"/>
    <w:rsid w:val="00E70288"/>
    <w:rsid w:val="00E70531"/>
    <w:rsid w:val="00E70EC2"/>
    <w:rsid w:val="00E73E48"/>
    <w:rsid w:val="00E74FAC"/>
    <w:rsid w:val="00E7534B"/>
    <w:rsid w:val="00E82C38"/>
    <w:rsid w:val="00E8376A"/>
    <w:rsid w:val="00E9046C"/>
    <w:rsid w:val="00E959A3"/>
    <w:rsid w:val="00EA3348"/>
    <w:rsid w:val="00EA3B6A"/>
    <w:rsid w:val="00EA5224"/>
    <w:rsid w:val="00EB09A4"/>
    <w:rsid w:val="00EB0F8D"/>
    <w:rsid w:val="00EB1188"/>
    <w:rsid w:val="00EC2853"/>
    <w:rsid w:val="00ED13CF"/>
    <w:rsid w:val="00EE032C"/>
    <w:rsid w:val="00EE0653"/>
    <w:rsid w:val="00EE3629"/>
    <w:rsid w:val="00EF43C2"/>
    <w:rsid w:val="00EF659E"/>
    <w:rsid w:val="00EF7668"/>
    <w:rsid w:val="00F02C70"/>
    <w:rsid w:val="00F077CF"/>
    <w:rsid w:val="00F07DEC"/>
    <w:rsid w:val="00F11947"/>
    <w:rsid w:val="00F1604E"/>
    <w:rsid w:val="00F24F00"/>
    <w:rsid w:val="00F27A1B"/>
    <w:rsid w:val="00F27C67"/>
    <w:rsid w:val="00F31780"/>
    <w:rsid w:val="00F3569D"/>
    <w:rsid w:val="00F42007"/>
    <w:rsid w:val="00F44359"/>
    <w:rsid w:val="00F46446"/>
    <w:rsid w:val="00F549E3"/>
    <w:rsid w:val="00F55217"/>
    <w:rsid w:val="00F56CB3"/>
    <w:rsid w:val="00F60510"/>
    <w:rsid w:val="00F6221C"/>
    <w:rsid w:val="00F630D5"/>
    <w:rsid w:val="00F63855"/>
    <w:rsid w:val="00F65C26"/>
    <w:rsid w:val="00F67A62"/>
    <w:rsid w:val="00F67FF7"/>
    <w:rsid w:val="00F70C13"/>
    <w:rsid w:val="00F730A1"/>
    <w:rsid w:val="00F746F0"/>
    <w:rsid w:val="00F752F5"/>
    <w:rsid w:val="00F84B24"/>
    <w:rsid w:val="00F90095"/>
    <w:rsid w:val="00F90631"/>
    <w:rsid w:val="00FA3D7F"/>
    <w:rsid w:val="00FB48BD"/>
    <w:rsid w:val="00FB49CB"/>
    <w:rsid w:val="00FB53F6"/>
    <w:rsid w:val="00FB63F7"/>
    <w:rsid w:val="00FB7845"/>
    <w:rsid w:val="00FC0AF0"/>
    <w:rsid w:val="00FC653F"/>
    <w:rsid w:val="00FC7947"/>
    <w:rsid w:val="00FE3203"/>
    <w:rsid w:val="00FE49DE"/>
    <w:rsid w:val="00FE565A"/>
    <w:rsid w:val="00FE736D"/>
    <w:rsid w:val="00FF694B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884C"/>
  <w15:docId w15:val="{7FC9911A-FF34-F846-99CE-50A0933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H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lang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chiara">
    <w:name w:val="Grid Table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lagriglia1chiara-colore1">
    <w:name w:val="Grid Table 1 Light Accent 1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ellagriglia1chiara-colore3">
    <w:name w:val="Grid Table 1 Light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ellagriglia1chiara-colore4">
    <w:name w:val="Grid Table 1 Light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ellagriglia1chiara-colore5">
    <w:name w:val="Grid Table 1 Light Accent 5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Tabellagriglia1chiara-colore6">
    <w:name w:val="Grid Table 1 Light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Tabellagriglia2-colore1">
    <w:name w:val="Grid Table 2 Accent 1"/>
    <w:basedOn w:val="Tabellanorma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Tabellagriglia2-colore2">
    <w:name w:val="Grid Table 2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lagriglia2-colore3">
    <w:name w:val="Grid Table 2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lagriglia2-colore4">
    <w:name w:val="Grid Table 2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lagriglia2-colore5">
    <w:name w:val="Grid Table 2 Accent 5"/>
    <w:basedOn w:val="Tabellanorma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lagriglia2-colore6">
    <w:name w:val="Grid Table 2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Tabellagriglia3-colore1">
    <w:name w:val="Grid Table 3 Accent 1"/>
    <w:basedOn w:val="Tabellanorma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Tabellagriglia3-colore2">
    <w:name w:val="Grid Table 3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lagriglia3-colore3">
    <w:name w:val="Grid Table 3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lagriglia3-colore4">
    <w:name w:val="Grid Table 3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lagriglia3-colore5">
    <w:name w:val="Grid Table 3 Accent 5"/>
    <w:basedOn w:val="Tabellanorma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lagriglia3-colore6">
    <w:name w:val="Grid Table 3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Tabellagriglia4-colore1">
    <w:name w:val="Grid Table 4 Accent 1"/>
    <w:basedOn w:val="Tabellanorma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styleId="Tabellagriglia4-colore2">
    <w:name w:val="Grid Table 4 Accent 2"/>
    <w:basedOn w:val="Tabellanorma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lagriglia4-colore3">
    <w:name w:val="Grid Table 4 Accent 3"/>
    <w:basedOn w:val="Tabellanorma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lagriglia4-colore4">
    <w:name w:val="Grid Table 4 Accent 4"/>
    <w:basedOn w:val="Tabellanorma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lagriglia4-colore5">
    <w:name w:val="Grid Table 4 Accent 5"/>
    <w:basedOn w:val="Tabellanorma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lagriglia4-colore6">
    <w:name w:val="Grid Table 4 Accent 6"/>
    <w:basedOn w:val="Tabellanorma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styleId="Tabellagriglia5scura-colore2">
    <w:name w:val="Grid Table 5 Dark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Tabellagriglia5scura-colore3">
    <w:name w:val="Grid Table 5 Dark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Tabellagriglia5scura-colore5">
    <w:name w:val="Grid Table 5 Dark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styleId="Tabellagriglia5scura-colore6">
    <w:name w:val="Grid Table 5 Dark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Tabellaelenco1chiara-colore1">
    <w:name w:val="List Table 1 Light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styleId="Tabellaelenco1chiara-colore2">
    <w:name w:val="List Table 1 Light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Tabellaelenco1chiara-colore3">
    <w:name w:val="List Table 1 Light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Tabellaelenco1chiara-colore4">
    <w:name w:val="List Table 1 Light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Tabellaelenco1chiara-colore5">
    <w:name w:val="List Table 1 Light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styleId="Tabellaelenco1chiara-colore6">
    <w:name w:val="List Table 1 Light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Tabellaelenco2-colore1">
    <w:name w:val="List Table 2 Accent 1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Tabellaelenco2-colore2">
    <w:name w:val="List Table 2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Tabellaelenco2-colore3">
    <w:name w:val="List Table 2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Tabellaelenco2-colore4">
    <w:name w:val="List Table 2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Tabellaelenco2-colore5">
    <w:name w:val="List Table 2 Accent 5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Tabellaelenco2-colore6">
    <w:name w:val="List Table 2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elenco3-colore1">
    <w:name w:val="List Table 3 Accent 1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Tabellaelenco3-colore2">
    <w:name w:val="List Table 3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ellaelenco3-colore3">
    <w:name w:val="List Table 3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ellaelenco3-colore4">
    <w:name w:val="List Table 3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ellaelenco3-colore5">
    <w:name w:val="List Table 3 Accent 5"/>
    <w:basedOn w:val="Tabellanorma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Tabellaelenco3-colore6">
    <w:name w:val="List Table 3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Tabellaelenco4-colore1">
    <w:name w:val="List Table 4 Accent 1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Tabellaelenco4-colore2">
    <w:name w:val="List Table 4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Tabellaelenco4-colore3">
    <w:name w:val="List Table 4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Tabellaelenco4-colore4">
    <w:name w:val="List Table 4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Tabellaelenco4-colore5">
    <w:name w:val="List Table 4 Accent 5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Tabellaelenco4-colore6">
    <w:name w:val="List Table 4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Tabellaelenco5scura-colore1">
    <w:name w:val="List Table 5 Dark Accent 1"/>
    <w:basedOn w:val="Tabellanorma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styleId="Tabellaelenco5scura-colore2">
    <w:name w:val="List Table 5 Dark Accent 2"/>
    <w:basedOn w:val="Tabellanorma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Tabellaelenco5scura-colore3">
    <w:name w:val="List Table 5 Dark Accent 3"/>
    <w:basedOn w:val="Tabellanorma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Tabellaelenco5scura-colore4">
    <w:name w:val="List Table 5 Dark Accent 4"/>
    <w:basedOn w:val="Tabellanorma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Tabellaelenco5scura-colore5">
    <w:name w:val="List Table 5 Dark Accent 5"/>
    <w:basedOn w:val="Tabellanorma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styleId="Tabellaelenco5scura-colore6">
    <w:name w:val="List Table 5 Dark Accent 6"/>
    <w:basedOn w:val="Tabellanorma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Paragrafoelenco">
    <w:name w:val="List Paragraph"/>
    <w:basedOn w:val="Normale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Numeropagina">
    <w:name w:val="page number"/>
    <w:basedOn w:val="Carpredefinitoparagrafo"/>
    <w:uiPriority w:val="99"/>
    <w:unhideWhenUsed/>
  </w:style>
  <w:style w:type="paragraph" w:styleId="Intestazione">
    <w:name w:val="header"/>
    <w:basedOn w:val="Normale"/>
    <w:link w:val="IntestazioneCaratter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Carpredefinitoparagrafo"/>
  </w:style>
  <w:style w:type="paragraph" w:customStyle="1" w:styleId="Default">
    <w:name w:val="Default"/>
    <w:rPr>
      <w:rFonts w:ascii="Times New Roman" w:hAnsi="Times New Roman" w:cs="Times New Roman"/>
      <w:color w:val="00000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891084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5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1522"/>
    <w:rPr>
      <w:color w:val="954F72" w:themeColor="followedHyperlink"/>
      <w:u w:val="single"/>
    </w:rPr>
  </w:style>
  <w:style w:type="character" w:customStyle="1" w:styleId="acopre">
    <w:name w:val="acopre"/>
    <w:basedOn w:val="Carpredefinitoparagrafo"/>
    <w:rsid w:val="001658FE"/>
  </w:style>
  <w:style w:type="paragraph" w:styleId="Corpotesto">
    <w:name w:val="Body Text"/>
    <w:basedOn w:val="Normale"/>
    <w:link w:val="CorpotestoCarattere"/>
    <w:uiPriority w:val="99"/>
    <w:rsid w:val="00054857"/>
    <w:pPr>
      <w:widowControl w:val="0"/>
      <w:autoSpaceDE w:val="0"/>
      <w:autoSpaceDN w:val="0"/>
      <w:jc w:val="both"/>
    </w:pPr>
    <w:rPr>
      <w:lang w:val="es-MX" w:eastAsia="es-E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54857"/>
    <w:rPr>
      <w:rFonts w:ascii="Times New Roman" w:eastAsia="Times New Roman" w:hAnsi="Times New Roman" w:cs="Times New Roman"/>
      <w:lang w:val="es-MX" w:eastAsia="es-ES"/>
    </w:rPr>
  </w:style>
  <w:style w:type="character" w:styleId="Rimandocommento">
    <w:name w:val="annotation reference"/>
    <w:uiPriority w:val="99"/>
    <w:semiHidden/>
    <w:unhideWhenUsed/>
    <w:rsid w:val="0005485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857"/>
    <w:pPr>
      <w:widowControl w:val="0"/>
      <w:autoSpaceDE w:val="0"/>
      <w:autoSpaceDN w:val="0"/>
    </w:pPr>
    <w:rPr>
      <w:sz w:val="20"/>
      <w:szCs w:val="20"/>
      <w:lang w:val="es-ES" w:eastAsia="es-E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8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8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85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8E54FF-0F13-A545-8847-BA9FE9DE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3320</Words>
  <Characters>18930</Characters>
  <Application>Microsoft Office Word</Application>
  <DocSecurity>0</DocSecurity>
  <Lines>157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Patrizi</dc:creator>
  <cp:keywords/>
  <dc:description/>
  <cp:lastModifiedBy>francesco battaglia</cp:lastModifiedBy>
  <cp:revision>3</cp:revision>
  <cp:lastPrinted>2023-10-16T15:39:00Z</cp:lastPrinted>
  <dcterms:created xsi:type="dcterms:W3CDTF">2023-10-16T15:39:00Z</dcterms:created>
  <dcterms:modified xsi:type="dcterms:W3CDTF">2023-10-16T15:39:00Z</dcterms:modified>
</cp:coreProperties>
</file>