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360B" w14:textId="77777777" w:rsidR="00592C5A" w:rsidRDefault="00592C5A" w:rsidP="00592C5A">
      <w:pPr>
        <w:spacing w:line="240" w:lineRule="auto"/>
        <w:ind w:firstLine="567"/>
        <w:contextualSpacing/>
        <w:jc w:val="both"/>
        <w:rPr>
          <w:rFonts w:ascii="Garamond" w:hAnsi="Garamond"/>
          <w:sz w:val="24"/>
          <w:szCs w:val="24"/>
        </w:rPr>
      </w:pPr>
    </w:p>
    <w:p w14:paraId="790038F5" w14:textId="77777777" w:rsidR="00592C5A" w:rsidRDefault="00592C5A" w:rsidP="00592C5A">
      <w:pPr>
        <w:spacing w:line="240" w:lineRule="auto"/>
        <w:ind w:firstLine="567"/>
        <w:contextualSpacing/>
        <w:jc w:val="both"/>
        <w:rPr>
          <w:rFonts w:ascii="Garamond" w:hAnsi="Garamond"/>
          <w:sz w:val="24"/>
          <w:szCs w:val="24"/>
        </w:rPr>
      </w:pPr>
    </w:p>
    <w:p w14:paraId="1895FD9A" w14:textId="77777777" w:rsidR="00A86286" w:rsidRDefault="00A86286" w:rsidP="00592C5A">
      <w:pPr>
        <w:spacing w:line="240" w:lineRule="auto"/>
        <w:ind w:firstLine="567"/>
        <w:contextualSpacing/>
        <w:jc w:val="both"/>
        <w:rPr>
          <w:rFonts w:ascii="Garamond" w:hAnsi="Garamond"/>
          <w:sz w:val="24"/>
          <w:szCs w:val="24"/>
        </w:rPr>
      </w:pPr>
    </w:p>
    <w:p w14:paraId="4D2EB451" w14:textId="1CE535F1" w:rsidR="00592C5A" w:rsidRDefault="00985310" w:rsidP="00985310">
      <w:pPr>
        <w:spacing w:after="0" w:line="240" w:lineRule="auto"/>
        <w:contextualSpacing/>
        <w:jc w:val="both"/>
        <w:rPr>
          <w:rFonts w:ascii="Garamond" w:hAnsi="Garamond"/>
          <w:sz w:val="24"/>
          <w:szCs w:val="24"/>
        </w:rPr>
      </w:pPr>
      <w:r w:rsidRPr="00985310">
        <w:rPr>
          <w:rFonts w:ascii="Garamond" w:hAnsi="Garamond"/>
          <w:noProof/>
          <w:sz w:val="24"/>
          <w:szCs w:val="24"/>
          <w:lang w:eastAsia="it-IT"/>
        </w:rPr>
        <w:drawing>
          <wp:inline distT="0" distB="0" distL="0" distR="0" wp14:anchorId="1407BBCC" wp14:editId="25134211">
            <wp:extent cx="5425337" cy="907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425337" cy="907200"/>
                    </a:xfrm>
                    <a:prstGeom prst="rect">
                      <a:avLst/>
                    </a:prstGeom>
                  </pic:spPr>
                </pic:pic>
              </a:graphicData>
            </a:graphic>
          </wp:inline>
        </w:drawing>
      </w:r>
    </w:p>
    <w:p w14:paraId="13C86A2F" w14:textId="77777777" w:rsidR="00592C5A" w:rsidRDefault="00592C5A" w:rsidP="00592C5A">
      <w:pPr>
        <w:spacing w:line="240" w:lineRule="auto"/>
        <w:ind w:firstLine="567"/>
        <w:contextualSpacing/>
        <w:jc w:val="both"/>
        <w:rPr>
          <w:rFonts w:ascii="Garamond" w:hAnsi="Garamond"/>
          <w:sz w:val="24"/>
          <w:szCs w:val="24"/>
        </w:rPr>
      </w:pPr>
    </w:p>
    <w:p w14:paraId="0A9E4FFD" w14:textId="77777777" w:rsidR="00592C5A" w:rsidRDefault="00592C5A" w:rsidP="00592C5A">
      <w:pPr>
        <w:spacing w:line="240" w:lineRule="auto"/>
        <w:ind w:firstLine="567"/>
        <w:contextualSpacing/>
        <w:jc w:val="both"/>
        <w:rPr>
          <w:rFonts w:ascii="Garamond" w:hAnsi="Garamond"/>
          <w:sz w:val="24"/>
          <w:szCs w:val="24"/>
        </w:rPr>
      </w:pPr>
    </w:p>
    <w:p w14:paraId="766F5840" w14:textId="77777777" w:rsidR="00592C5A" w:rsidRDefault="00592C5A" w:rsidP="00592C5A">
      <w:pPr>
        <w:spacing w:after="0" w:line="240" w:lineRule="auto"/>
        <w:rPr>
          <w:rFonts w:ascii="Garamond" w:hAnsi="Garamond" w:cs="Times New Roman"/>
          <w:smallCaps/>
          <w:sz w:val="24"/>
          <w:szCs w:val="24"/>
        </w:rPr>
      </w:pPr>
    </w:p>
    <w:p w14:paraId="28998A0F" w14:textId="13FEF31A" w:rsidR="00E9517A" w:rsidRPr="00A57F10" w:rsidRDefault="00B33A57" w:rsidP="0014661D">
      <w:pPr>
        <w:spacing w:after="0" w:line="240" w:lineRule="auto"/>
        <w:jc w:val="center"/>
        <w:rPr>
          <w:rFonts w:ascii="Garamond" w:hAnsi="Garamond" w:cs="Times New Roman"/>
          <w:smallCaps/>
          <w:sz w:val="24"/>
          <w:szCs w:val="24"/>
        </w:rPr>
      </w:pPr>
      <w:r>
        <w:rPr>
          <w:rFonts w:ascii="Garamond" w:eastAsia="Calibri" w:hAnsi="Garamond" w:cs="Times New Roman"/>
          <w:smallCaps/>
          <w:noProof/>
          <w:sz w:val="24"/>
          <w:szCs w:val="24"/>
        </w:rPr>
        <w:t>armando saitta</w:t>
      </w:r>
      <w:r w:rsidR="00656A51" w:rsidRPr="00A57F10">
        <w:rPr>
          <w:rStyle w:val="Rimandonotaapidipagina"/>
          <w:rFonts w:ascii="Garamond" w:hAnsi="Garamond" w:cs="Times New Roman"/>
          <w:smallCaps/>
          <w:sz w:val="24"/>
          <w:szCs w:val="24"/>
        </w:rPr>
        <w:t xml:space="preserve"> </w:t>
      </w:r>
      <w:r w:rsidR="00E9517A" w:rsidRPr="00A57F10">
        <w:rPr>
          <w:rStyle w:val="Rimandonotaapidipagina"/>
          <w:rFonts w:ascii="Garamond" w:hAnsi="Garamond" w:cs="Times New Roman"/>
          <w:smallCaps/>
          <w:sz w:val="24"/>
          <w:szCs w:val="24"/>
        </w:rPr>
        <w:footnoteReference w:customMarkFollows="1" w:id="1"/>
        <w:t>*</w:t>
      </w:r>
    </w:p>
    <w:p w14:paraId="25523033" w14:textId="77777777" w:rsidR="00E9517A" w:rsidRPr="00A57F10" w:rsidRDefault="00E9517A" w:rsidP="0014661D">
      <w:pPr>
        <w:spacing w:after="0" w:line="240" w:lineRule="auto"/>
        <w:jc w:val="center"/>
        <w:rPr>
          <w:rFonts w:ascii="Garamond" w:hAnsi="Garamond" w:cs="Times New Roman"/>
          <w:b/>
          <w:sz w:val="24"/>
          <w:szCs w:val="24"/>
        </w:rPr>
      </w:pPr>
    </w:p>
    <w:p w14:paraId="3404CA16" w14:textId="77777777" w:rsidR="00656A51" w:rsidRPr="00156101" w:rsidRDefault="00656A51" w:rsidP="0014661D">
      <w:pPr>
        <w:spacing w:after="0" w:line="240" w:lineRule="auto"/>
        <w:jc w:val="center"/>
        <w:rPr>
          <w:rFonts w:ascii="Garamond" w:hAnsi="Garamond"/>
          <w:b/>
          <w:bCs/>
          <w:smallCaps/>
          <w:sz w:val="24"/>
          <w:szCs w:val="24"/>
        </w:rPr>
      </w:pPr>
      <w:r w:rsidRPr="00156101">
        <w:rPr>
          <w:rFonts w:ascii="Garamond" w:hAnsi="Garamond"/>
          <w:b/>
          <w:bCs/>
          <w:smallCaps/>
          <w:sz w:val="24"/>
          <w:szCs w:val="24"/>
        </w:rPr>
        <w:t>La legittimità costituzionale ed europea</w:t>
      </w:r>
      <w:r w:rsidRPr="00156101">
        <w:rPr>
          <w:rStyle w:val="Rimandocommento"/>
          <w:b/>
          <w:bCs/>
          <w:smallCaps/>
        </w:rPr>
        <w:t xml:space="preserve"> </w:t>
      </w:r>
      <w:r w:rsidRPr="00156101">
        <w:rPr>
          <w:rFonts w:ascii="Garamond" w:hAnsi="Garamond"/>
          <w:b/>
          <w:bCs/>
          <w:smallCaps/>
          <w:sz w:val="24"/>
          <w:szCs w:val="24"/>
        </w:rPr>
        <w:t xml:space="preserve">del </w:t>
      </w:r>
      <w:r w:rsidRPr="00156101">
        <w:rPr>
          <w:rFonts w:ascii="Garamond" w:hAnsi="Garamond"/>
          <w:b/>
          <w:bCs/>
          <w:i/>
          <w:smallCaps/>
          <w:sz w:val="24"/>
          <w:szCs w:val="24"/>
        </w:rPr>
        <w:t xml:space="preserve">passe </w:t>
      </w:r>
      <w:proofErr w:type="spellStart"/>
      <w:r w:rsidRPr="00156101">
        <w:rPr>
          <w:rFonts w:ascii="Garamond" w:hAnsi="Garamond"/>
          <w:b/>
          <w:bCs/>
          <w:i/>
          <w:smallCaps/>
          <w:sz w:val="24"/>
          <w:szCs w:val="24"/>
        </w:rPr>
        <w:t>sanitaire</w:t>
      </w:r>
      <w:proofErr w:type="spellEnd"/>
      <w:r w:rsidRPr="00156101">
        <w:rPr>
          <w:rFonts w:ascii="Garamond" w:hAnsi="Garamond"/>
          <w:b/>
          <w:bCs/>
          <w:smallCaps/>
          <w:sz w:val="24"/>
          <w:szCs w:val="24"/>
        </w:rPr>
        <w:t xml:space="preserve"> francese: tra libertà individuali e tutela della salute</w:t>
      </w:r>
    </w:p>
    <w:p w14:paraId="36C98B34" w14:textId="09E534A6" w:rsidR="00656A51" w:rsidRDefault="00656A51" w:rsidP="00656A51">
      <w:pPr>
        <w:spacing w:after="0" w:line="240" w:lineRule="auto"/>
        <w:jc w:val="both"/>
        <w:rPr>
          <w:rFonts w:ascii="Garamond" w:hAnsi="Garamond"/>
          <w:b/>
          <w:sz w:val="24"/>
          <w:szCs w:val="24"/>
        </w:rPr>
      </w:pPr>
      <w:r w:rsidRPr="00405153">
        <w:rPr>
          <w:rFonts w:ascii="Garamond" w:hAnsi="Garamond"/>
          <w:b/>
          <w:sz w:val="24"/>
          <w:szCs w:val="24"/>
        </w:rPr>
        <w:t xml:space="preserve"> </w:t>
      </w:r>
    </w:p>
    <w:p w14:paraId="39218C03" w14:textId="77777777" w:rsidR="00656A51" w:rsidRPr="00405153" w:rsidRDefault="00656A51" w:rsidP="00656A51">
      <w:pPr>
        <w:spacing w:after="0" w:line="240" w:lineRule="auto"/>
        <w:jc w:val="both"/>
        <w:rPr>
          <w:rFonts w:ascii="Garamond" w:hAnsi="Garamond"/>
          <w:b/>
          <w:sz w:val="24"/>
          <w:szCs w:val="24"/>
        </w:rPr>
      </w:pPr>
    </w:p>
    <w:p w14:paraId="6CEE223B" w14:textId="15367925" w:rsidR="00656A51" w:rsidRPr="00656A51" w:rsidRDefault="00656A51" w:rsidP="00656A51">
      <w:pPr>
        <w:spacing w:after="0" w:line="240" w:lineRule="auto"/>
        <w:ind w:left="567" w:hanging="567"/>
        <w:jc w:val="both"/>
        <w:rPr>
          <w:rFonts w:ascii="Garamond" w:eastAsia="Calibri" w:hAnsi="Garamond" w:cs="Times New Roman"/>
          <w:bCs/>
          <w:noProof/>
          <w:sz w:val="20"/>
          <w:szCs w:val="20"/>
        </w:rPr>
      </w:pPr>
      <w:r w:rsidRPr="00656A51">
        <w:rPr>
          <w:rFonts w:ascii="Garamond" w:eastAsia="Calibri" w:hAnsi="Garamond" w:cs="Times New Roman"/>
          <w:smallCaps/>
          <w:noProof/>
          <w:sz w:val="20"/>
          <w:szCs w:val="20"/>
        </w:rPr>
        <w:t>Sommario</w:t>
      </w:r>
      <w:r w:rsidRPr="00656A51">
        <w:rPr>
          <w:rFonts w:ascii="Garamond" w:eastAsia="Calibri" w:hAnsi="Garamond" w:cs="Times New Roman"/>
          <w:noProof/>
          <w:sz w:val="20"/>
          <w:szCs w:val="20"/>
        </w:rPr>
        <w:t>: 1. Premesse. –</w:t>
      </w:r>
      <w:r w:rsidR="00AE6232">
        <w:rPr>
          <w:rFonts w:ascii="Garamond" w:eastAsia="Calibri" w:hAnsi="Garamond" w:cs="Times New Roman"/>
          <w:noProof/>
          <w:sz w:val="20"/>
          <w:szCs w:val="20"/>
        </w:rPr>
        <w:t xml:space="preserve"> </w:t>
      </w:r>
      <w:r w:rsidRPr="00656A51">
        <w:rPr>
          <w:rFonts w:ascii="Garamond" w:eastAsia="Calibri" w:hAnsi="Garamond" w:cs="Times New Roman"/>
          <w:noProof/>
          <w:sz w:val="20"/>
          <w:szCs w:val="20"/>
        </w:rPr>
        <w:t xml:space="preserve">2. </w:t>
      </w:r>
      <w:bookmarkStart w:id="0" w:name="_Hlk112147338"/>
      <w:r w:rsidRPr="00656A51">
        <w:rPr>
          <w:rFonts w:ascii="Garamond" w:eastAsia="Calibri" w:hAnsi="Garamond" w:cs="Times New Roman"/>
          <w:iCs/>
          <w:noProof/>
          <w:sz w:val="20"/>
          <w:szCs w:val="20"/>
        </w:rPr>
        <w:t xml:space="preserve">Il fondamento giuridico del </w:t>
      </w:r>
      <w:r w:rsidRPr="00156101">
        <w:rPr>
          <w:rFonts w:ascii="Garamond" w:eastAsia="Calibri" w:hAnsi="Garamond" w:cs="Times New Roman"/>
          <w:i/>
          <w:iCs/>
          <w:noProof/>
          <w:sz w:val="20"/>
          <w:szCs w:val="20"/>
        </w:rPr>
        <w:t>green pass</w:t>
      </w:r>
      <w:r w:rsidRPr="00656A51">
        <w:rPr>
          <w:rFonts w:ascii="Garamond" w:eastAsia="Calibri" w:hAnsi="Garamond" w:cs="Times New Roman"/>
          <w:iCs/>
          <w:noProof/>
          <w:sz w:val="20"/>
          <w:szCs w:val="20"/>
        </w:rPr>
        <w:t xml:space="preserve"> dell’UE e il suo impatto sui diritti fondamentali. –</w:t>
      </w:r>
      <w:r w:rsidR="00AE6232">
        <w:rPr>
          <w:rFonts w:ascii="Garamond" w:eastAsia="Calibri" w:hAnsi="Garamond" w:cs="Times New Roman"/>
          <w:iCs/>
          <w:noProof/>
          <w:sz w:val="20"/>
          <w:szCs w:val="20"/>
        </w:rPr>
        <w:t xml:space="preserve"> </w:t>
      </w:r>
      <w:r w:rsidRPr="00656A51">
        <w:rPr>
          <w:rFonts w:ascii="Garamond" w:eastAsia="Calibri" w:hAnsi="Garamond" w:cs="Times New Roman"/>
          <w:i/>
          <w:iCs/>
          <w:noProof/>
          <w:sz w:val="20"/>
          <w:szCs w:val="20"/>
        </w:rPr>
        <w:t xml:space="preserve"> </w:t>
      </w:r>
      <w:r w:rsidRPr="00656A51">
        <w:rPr>
          <w:rFonts w:ascii="Garamond" w:eastAsia="Calibri" w:hAnsi="Garamond" w:cs="Times New Roman"/>
          <w:iCs/>
          <w:noProof/>
          <w:sz w:val="20"/>
          <w:szCs w:val="20"/>
        </w:rPr>
        <w:t>3.</w:t>
      </w:r>
      <w:r w:rsidRPr="00656A51">
        <w:rPr>
          <w:rFonts w:ascii="Garamond" w:eastAsia="Calibri" w:hAnsi="Garamond" w:cs="Times New Roman"/>
          <w:i/>
          <w:iCs/>
          <w:noProof/>
          <w:sz w:val="20"/>
          <w:szCs w:val="20"/>
        </w:rPr>
        <w:t xml:space="preserve"> </w:t>
      </w:r>
      <w:r w:rsidRPr="00656A51">
        <w:rPr>
          <w:rFonts w:ascii="Garamond" w:eastAsia="Calibri" w:hAnsi="Garamond" w:cs="Times New Roman"/>
          <w:noProof/>
          <w:sz w:val="20"/>
          <w:szCs w:val="20"/>
        </w:rPr>
        <w:t xml:space="preserve">Il regime del </w:t>
      </w:r>
      <w:r w:rsidRPr="00656A51">
        <w:rPr>
          <w:rFonts w:ascii="Garamond" w:eastAsia="Calibri" w:hAnsi="Garamond" w:cs="Times New Roman"/>
          <w:i/>
          <w:noProof/>
          <w:sz w:val="20"/>
          <w:szCs w:val="20"/>
        </w:rPr>
        <w:t>passe sanitaire</w:t>
      </w:r>
      <w:r w:rsidRPr="00656A51">
        <w:rPr>
          <w:rFonts w:ascii="Garamond" w:eastAsia="Calibri" w:hAnsi="Garamond" w:cs="Times New Roman"/>
          <w:noProof/>
          <w:sz w:val="20"/>
          <w:szCs w:val="20"/>
        </w:rPr>
        <w:t xml:space="preserve"> e la giurisprudenza costituzionale francese</w:t>
      </w:r>
      <w:r w:rsidR="00D36000">
        <w:rPr>
          <w:rFonts w:ascii="Garamond" w:eastAsia="Calibri" w:hAnsi="Garamond" w:cs="Times New Roman"/>
          <w:noProof/>
          <w:sz w:val="20"/>
          <w:szCs w:val="20"/>
        </w:rPr>
        <w:t>.</w:t>
      </w:r>
      <w:r w:rsidRPr="00656A51">
        <w:rPr>
          <w:rFonts w:ascii="Garamond" w:eastAsia="Calibri" w:hAnsi="Garamond" w:cs="Times New Roman"/>
          <w:noProof/>
          <w:sz w:val="20"/>
          <w:szCs w:val="20"/>
        </w:rPr>
        <w:t xml:space="preserve"> </w:t>
      </w:r>
      <w:bookmarkEnd w:id="0"/>
      <w:r w:rsidRPr="00656A51">
        <w:rPr>
          <w:rFonts w:ascii="Garamond" w:eastAsia="Calibri" w:hAnsi="Garamond" w:cs="Times New Roman"/>
          <w:noProof/>
          <w:sz w:val="20"/>
          <w:szCs w:val="20"/>
        </w:rPr>
        <w:t>–  4.</w:t>
      </w:r>
      <w:r w:rsidRPr="00656A51">
        <w:rPr>
          <w:rFonts w:ascii="Garamond" w:hAnsi="Garamond"/>
          <w:i/>
          <w:sz w:val="20"/>
          <w:szCs w:val="20"/>
        </w:rPr>
        <w:t xml:space="preserve"> </w:t>
      </w:r>
      <w:r w:rsidRPr="00656A51">
        <w:rPr>
          <w:rFonts w:ascii="Garamond" w:eastAsia="Calibri" w:hAnsi="Garamond" w:cs="Times New Roman"/>
          <w:noProof/>
          <w:sz w:val="20"/>
          <w:szCs w:val="20"/>
        </w:rPr>
        <w:t xml:space="preserve">Verso una legittimità europea del </w:t>
      </w:r>
      <w:r w:rsidRPr="00656A51">
        <w:rPr>
          <w:rFonts w:ascii="Garamond" w:eastAsia="Calibri" w:hAnsi="Garamond" w:cs="Times New Roman"/>
          <w:i/>
          <w:noProof/>
          <w:sz w:val="20"/>
          <w:szCs w:val="20"/>
        </w:rPr>
        <w:t>passe sanitaire</w:t>
      </w:r>
      <w:r w:rsidRPr="00656A51">
        <w:rPr>
          <w:rFonts w:ascii="Garamond" w:eastAsia="Calibri" w:hAnsi="Garamond" w:cs="Times New Roman"/>
          <w:noProof/>
          <w:sz w:val="20"/>
          <w:szCs w:val="20"/>
        </w:rPr>
        <w:t xml:space="preserve">? Il caso </w:t>
      </w:r>
      <w:r w:rsidRPr="00156101">
        <w:rPr>
          <w:rFonts w:ascii="Garamond" w:eastAsia="Calibri" w:hAnsi="Garamond" w:cs="Times New Roman"/>
          <w:i/>
          <w:noProof/>
          <w:sz w:val="20"/>
          <w:szCs w:val="20"/>
        </w:rPr>
        <w:t>Zambrano</w:t>
      </w:r>
      <w:r w:rsidRPr="00656A51">
        <w:rPr>
          <w:rFonts w:ascii="Garamond" w:eastAsia="Calibri" w:hAnsi="Garamond" w:cs="Times New Roman"/>
          <w:noProof/>
          <w:sz w:val="20"/>
          <w:szCs w:val="20"/>
        </w:rPr>
        <w:t xml:space="preserve"> c. </w:t>
      </w:r>
      <w:r w:rsidRPr="00156101">
        <w:rPr>
          <w:rFonts w:ascii="Garamond" w:eastAsia="Calibri" w:hAnsi="Garamond" w:cs="Times New Roman"/>
          <w:i/>
          <w:noProof/>
          <w:sz w:val="20"/>
          <w:szCs w:val="20"/>
        </w:rPr>
        <w:t>Francia</w:t>
      </w:r>
      <w:r w:rsidRPr="00656A51">
        <w:rPr>
          <w:rFonts w:ascii="Garamond" w:eastAsia="Calibri" w:hAnsi="Garamond" w:cs="Times New Roman"/>
          <w:noProof/>
          <w:sz w:val="20"/>
          <w:szCs w:val="20"/>
        </w:rPr>
        <w:t xml:space="preserve"> davanti alla Corte europea dei diritti umani alla luce della decisione </w:t>
      </w:r>
      <w:r w:rsidRPr="001C3363">
        <w:rPr>
          <w:rFonts w:ascii="Garamond" w:eastAsia="Calibri" w:hAnsi="Garamond" w:cs="Times New Roman"/>
          <w:i/>
          <w:noProof/>
          <w:sz w:val="20"/>
          <w:szCs w:val="20"/>
        </w:rPr>
        <w:t>Vavřička and Others v. the Czech Republic</w:t>
      </w:r>
      <w:r w:rsidRPr="00656A51">
        <w:rPr>
          <w:rFonts w:ascii="Garamond" w:eastAsia="Calibri" w:hAnsi="Garamond" w:cs="Times New Roman"/>
          <w:noProof/>
          <w:sz w:val="20"/>
          <w:szCs w:val="20"/>
        </w:rPr>
        <w:t xml:space="preserve">. – </w:t>
      </w:r>
      <w:r w:rsidRPr="00656A51">
        <w:rPr>
          <w:rFonts w:ascii="Garamond" w:eastAsia="Calibri" w:hAnsi="Garamond" w:cs="Times New Roman"/>
          <w:bCs/>
          <w:noProof/>
          <w:sz w:val="20"/>
          <w:szCs w:val="20"/>
        </w:rPr>
        <w:t xml:space="preserve">5. Anche </w:t>
      </w:r>
      <w:r w:rsidR="002D4C9B">
        <w:rPr>
          <w:rFonts w:ascii="Garamond" w:eastAsia="Calibri" w:hAnsi="Garamond" w:cs="Times New Roman"/>
          <w:bCs/>
          <w:noProof/>
          <w:sz w:val="20"/>
          <w:szCs w:val="20"/>
        </w:rPr>
        <w:t>i</w:t>
      </w:r>
      <w:r w:rsidRPr="00656A51">
        <w:rPr>
          <w:rFonts w:ascii="Garamond" w:eastAsia="Calibri" w:hAnsi="Garamond" w:cs="Times New Roman"/>
          <w:bCs/>
          <w:noProof/>
          <w:sz w:val="20"/>
          <w:szCs w:val="20"/>
        </w:rPr>
        <w:t xml:space="preserve">l Tribunale dell’UE si schiera a favore della legittimità del </w:t>
      </w:r>
      <w:r w:rsidRPr="00656A51">
        <w:rPr>
          <w:rFonts w:ascii="Garamond" w:eastAsia="Calibri" w:hAnsi="Garamond" w:cs="Times New Roman"/>
          <w:bCs/>
          <w:i/>
          <w:noProof/>
          <w:sz w:val="20"/>
          <w:szCs w:val="20"/>
        </w:rPr>
        <w:t>green pass</w:t>
      </w:r>
      <w:r w:rsidRPr="00656A51">
        <w:rPr>
          <w:rFonts w:ascii="Garamond" w:eastAsia="Calibri" w:hAnsi="Garamond" w:cs="Times New Roman"/>
          <w:bCs/>
          <w:noProof/>
          <w:sz w:val="20"/>
          <w:szCs w:val="20"/>
        </w:rPr>
        <w:t xml:space="preserve"> (europeo). – 6. Considerazioni conclusive e prospettive.</w:t>
      </w:r>
    </w:p>
    <w:p w14:paraId="06A41132" w14:textId="77777777" w:rsidR="00656A51" w:rsidRPr="00405153" w:rsidRDefault="00656A51" w:rsidP="00656A51">
      <w:pPr>
        <w:spacing w:after="0"/>
        <w:rPr>
          <w:rFonts w:ascii="Garamond" w:hAnsi="Garamond"/>
          <w:b/>
          <w:sz w:val="24"/>
          <w:szCs w:val="24"/>
        </w:rPr>
      </w:pPr>
    </w:p>
    <w:p w14:paraId="13FBB7C5" w14:textId="3B43C204" w:rsidR="00656A51" w:rsidRDefault="00656A51" w:rsidP="00656A51">
      <w:pPr>
        <w:spacing w:after="0"/>
        <w:jc w:val="both"/>
        <w:rPr>
          <w:rFonts w:ascii="Garamond" w:hAnsi="Garamond"/>
          <w:b/>
          <w:sz w:val="24"/>
          <w:szCs w:val="24"/>
        </w:rPr>
      </w:pPr>
    </w:p>
    <w:p w14:paraId="3176D8EA" w14:textId="6C32B3E9" w:rsidR="00697A9A" w:rsidRDefault="00697A9A" w:rsidP="00697A9A">
      <w:pPr>
        <w:spacing w:after="0"/>
        <w:jc w:val="both"/>
        <w:rPr>
          <w:rFonts w:ascii="Garamond" w:hAnsi="Garamond"/>
          <w:sz w:val="24"/>
          <w:szCs w:val="24"/>
        </w:rPr>
      </w:pPr>
      <w:r w:rsidRPr="00697A9A">
        <w:rPr>
          <w:rFonts w:ascii="Garamond" w:hAnsi="Garamond"/>
          <w:sz w:val="24"/>
          <w:szCs w:val="24"/>
        </w:rPr>
        <w:t xml:space="preserve">1. </w:t>
      </w:r>
      <w:r w:rsidR="008878AE">
        <w:rPr>
          <w:rFonts w:ascii="Garamond" w:hAnsi="Garamond"/>
          <w:i/>
          <w:sz w:val="24"/>
          <w:szCs w:val="24"/>
        </w:rPr>
        <w:t>Premesse</w:t>
      </w:r>
    </w:p>
    <w:p w14:paraId="54EAC0C6" w14:textId="1EDEA371" w:rsidR="00697A9A" w:rsidRDefault="00697A9A" w:rsidP="00697A9A">
      <w:pPr>
        <w:spacing w:after="0"/>
        <w:jc w:val="both"/>
        <w:rPr>
          <w:rFonts w:ascii="Garamond" w:hAnsi="Garamond"/>
          <w:sz w:val="24"/>
          <w:szCs w:val="24"/>
        </w:rPr>
      </w:pPr>
    </w:p>
    <w:p w14:paraId="5E30E4C4" w14:textId="77777777" w:rsidR="00697A9A" w:rsidRPr="00697A9A" w:rsidRDefault="00697A9A" w:rsidP="00697A9A">
      <w:pPr>
        <w:spacing w:after="0"/>
        <w:jc w:val="both"/>
        <w:rPr>
          <w:rFonts w:ascii="Garamond" w:hAnsi="Garamond"/>
          <w:sz w:val="24"/>
          <w:szCs w:val="24"/>
        </w:rPr>
      </w:pPr>
    </w:p>
    <w:p w14:paraId="10983FC3" w14:textId="33A0BA78" w:rsidR="00965CDA"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La seconda metà del 2021 ha visto gli Stati membri dell’Unione europea somministrare a ritmi spediti un ampio catalogo di vaccini anticovid-19 all’interno dei propri confini nazionali, al fine di proteggere la salute dei propri cittadini nella speranza di un rapido ritorno alla </w:t>
      </w:r>
      <w:r w:rsidR="00697A9A">
        <w:rPr>
          <w:rFonts w:ascii="Garamond" w:hAnsi="Garamond"/>
          <w:sz w:val="24"/>
          <w:szCs w:val="24"/>
        </w:rPr>
        <w:t>“</w:t>
      </w:r>
      <w:r w:rsidRPr="00405153">
        <w:rPr>
          <w:rFonts w:ascii="Garamond" w:hAnsi="Garamond"/>
          <w:sz w:val="24"/>
          <w:szCs w:val="24"/>
        </w:rPr>
        <w:t>normalità</w:t>
      </w:r>
      <w:r w:rsidR="00697A9A">
        <w:rPr>
          <w:rFonts w:ascii="Garamond" w:hAnsi="Garamond"/>
          <w:sz w:val="24"/>
          <w:szCs w:val="24"/>
        </w:rPr>
        <w:t>”</w:t>
      </w:r>
      <w:r w:rsidRPr="00405153">
        <w:rPr>
          <w:rFonts w:ascii="Garamond" w:hAnsi="Garamond"/>
          <w:sz w:val="24"/>
          <w:szCs w:val="24"/>
        </w:rPr>
        <w:t>. Quest’ultimo obiettivo – sostenuto anche dalla Commissione europea nella lotta al Covid-19 – è stato successivamente tradotto in concreto, attraverso l’adozione del Regolamento (UE) 2021/953, da parte del Parlamento europeo e del Consiglio</w:t>
      </w:r>
      <w:r>
        <w:rPr>
          <w:rFonts w:ascii="Garamond" w:hAnsi="Garamond"/>
          <w:sz w:val="24"/>
          <w:szCs w:val="24"/>
        </w:rPr>
        <w:t xml:space="preserve"> </w:t>
      </w:r>
      <w:r w:rsidRPr="00F564CB">
        <w:rPr>
          <w:rFonts w:ascii="Garamond" w:hAnsi="Garamond"/>
          <w:sz w:val="24"/>
          <w:szCs w:val="24"/>
        </w:rPr>
        <w:t>che ha introdotto</w:t>
      </w:r>
      <w:r>
        <w:rPr>
          <w:rFonts w:ascii="Garamond" w:hAnsi="Garamond"/>
          <w:sz w:val="24"/>
          <w:szCs w:val="24"/>
        </w:rPr>
        <w:t xml:space="preserve"> </w:t>
      </w:r>
      <w:proofErr w:type="spellStart"/>
      <w:r>
        <w:rPr>
          <w:rFonts w:ascii="Garamond" w:hAnsi="Garamond"/>
          <w:sz w:val="24"/>
          <w:szCs w:val="24"/>
        </w:rPr>
        <w:t>l’</w:t>
      </w:r>
      <w:r w:rsidRPr="00B954BE">
        <w:rPr>
          <w:rFonts w:ascii="Garamond" w:hAnsi="Garamond"/>
          <w:i/>
          <w:sz w:val="24"/>
          <w:szCs w:val="24"/>
        </w:rPr>
        <w:t>Eu</w:t>
      </w:r>
      <w:proofErr w:type="spellEnd"/>
      <w:r w:rsidRPr="00405153">
        <w:rPr>
          <w:rFonts w:ascii="Garamond" w:hAnsi="Garamond"/>
          <w:i/>
          <w:sz w:val="24"/>
          <w:szCs w:val="24"/>
        </w:rPr>
        <w:t xml:space="preserve"> Digital Covid-19 Certificate</w:t>
      </w:r>
      <w:r w:rsidRPr="00405153">
        <w:rPr>
          <w:rFonts w:ascii="Garamond" w:hAnsi="Garamond"/>
          <w:sz w:val="24"/>
          <w:szCs w:val="24"/>
        </w:rPr>
        <w:t xml:space="preserve"> (c.d. </w:t>
      </w:r>
      <w:r w:rsidRPr="00405153">
        <w:rPr>
          <w:rFonts w:ascii="Garamond" w:hAnsi="Garamond"/>
          <w:i/>
          <w:sz w:val="24"/>
          <w:szCs w:val="24"/>
        </w:rPr>
        <w:t>green pass</w:t>
      </w:r>
      <w:r w:rsidRPr="00405153">
        <w:rPr>
          <w:rFonts w:ascii="Garamond" w:hAnsi="Garamond"/>
          <w:sz w:val="24"/>
          <w:szCs w:val="24"/>
        </w:rPr>
        <w:t>) nell’ambito territoriale europeo, in vigore fino al 30 giugno 2022. Nel momento in cui si scrive è quasi giunto a termine il processo di approvazione formale</w:t>
      </w:r>
      <w:r>
        <w:rPr>
          <w:rFonts w:ascii="Garamond" w:hAnsi="Garamond"/>
          <w:sz w:val="24"/>
          <w:szCs w:val="24"/>
        </w:rPr>
        <w:t xml:space="preserve"> </w:t>
      </w:r>
      <w:r w:rsidRPr="00405153">
        <w:rPr>
          <w:rFonts w:ascii="Garamond" w:hAnsi="Garamond"/>
          <w:sz w:val="24"/>
          <w:szCs w:val="24"/>
        </w:rPr>
        <w:t xml:space="preserve">europeo relativo all’estensione temporale - per un altro anno - del c.d. </w:t>
      </w:r>
      <w:r w:rsidRPr="00405153">
        <w:rPr>
          <w:rFonts w:ascii="Garamond" w:hAnsi="Garamond"/>
          <w:i/>
          <w:sz w:val="24"/>
          <w:szCs w:val="24"/>
        </w:rPr>
        <w:t>green pass</w:t>
      </w:r>
      <w:r w:rsidRPr="00405153">
        <w:rPr>
          <w:rFonts w:ascii="Garamond" w:hAnsi="Garamond"/>
          <w:sz w:val="24"/>
          <w:szCs w:val="24"/>
        </w:rPr>
        <w:t>, in tutto il territorio degli Stati membri dell’Unione europea, fino al 30 giugno 2023, ravvivando nuovamente il dibattito sulla sua legittimità.</w:t>
      </w:r>
      <w:r>
        <w:rPr>
          <w:rFonts w:ascii="Garamond" w:hAnsi="Garamond"/>
          <w:sz w:val="24"/>
          <w:szCs w:val="24"/>
        </w:rPr>
        <w:t xml:space="preserve"> Al fine di rendere effettivo il principio di non discriminazione e di proporzionalità, il nuovo testo elaborato dalla Commissione europea si prefigge di rispondere </w:t>
      </w:r>
      <w:r w:rsidR="00066BAD" w:rsidRPr="00066BAD">
        <w:rPr>
          <w:rFonts w:ascii="Garamond" w:hAnsi="Garamond"/>
          <w:sz w:val="24"/>
          <w:szCs w:val="24"/>
        </w:rPr>
        <w:t>«</w:t>
      </w:r>
      <w:r w:rsidRPr="00A800D2">
        <w:rPr>
          <w:rFonts w:ascii="Garamond" w:hAnsi="Garamond"/>
          <w:i/>
          <w:sz w:val="24"/>
          <w:szCs w:val="24"/>
        </w:rPr>
        <w:t>alle preoccupazioni pratiche sollevate dai cittadini in merito ai certificati</w:t>
      </w:r>
      <w:r w:rsidR="00066BAD" w:rsidRPr="00066BAD">
        <w:rPr>
          <w:rFonts w:ascii="Garamond" w:hAnsi="Garamond"/>
          <w:i/>
          <w:sz w:val="24"/>
          <w:szCs w:val="24"/>
        </w:rPr>
        <w:t>»</w:t>
      </w:r>
      <w:r>
        <w:rPr>
          <w:rStyle w:val="Rimandonotaapidipagina"/>
          <w:rFonts w:ascii="Garamond" w:hAnsi="Garamond"/>
          <w:sz w:val="24"/>
          <w:szCs w:val="24"/>
        </w:rPr>
        <w:footnoteReference w:id="2"/>
      </w:r>
      <w:r>
        <w:rPr>
          <w:rFonts w:ascii="Garamond" w:hAnsi="Garamond"/>
          <w:sz w:val="24"/>
          <w:szCs w:val="24"/>
        </w:rPr>
        <w:t xml:space="preserve">, attraverso alcune previsioni importanti. </w:t>
      </w:r>
      <w:r w:rsidRPr="00405153">
        <w:rPr>
          <w:rFonts w:ascii="Garamond" w:hAnsi="Garamond"/>
          <w:sz w:val="24"/>
          <w:szCs w:val="24"/>
        </w:rPr>
        <w:t>A</w:t>
      </w:r>
      <w:r>
        <w:rPr>
          <w:rFonts w:ascii="Garamond" w:hAnsi="Garamond"/>
          <w:sz w:val="24"/>
          <w:szCs w:val="24"/>
        </w:rPr>
        <w:t>i</w:t>
      </w:r>
      <w:r w:rsidRPr="00405153">
        <w:rPr>
          <w:rFonts w:ascii="Garamond" w:hAnsi="Garamond"/>
          <w:sz w:val="24"/>
          <w:szCs w:val="24"/>
        </w:rPr>
        <w:t xml:space="preserve"> fini della definitiva </w:t>
      </w:r>
      <w:r w:rsidRPr="00405153">
        <w:rPr>
          <w:rFonts w:ascii="Garamond" w:hAnsi="Garamond"/>
          <w:sz w:val="24"/>
          <w:szCs w:val="24"/>
        </w:rPr>
        <w:lastRenderedPageBreak/>
        <w:t>entrata in vigore della suddetta proposta, si attende, tuttavia,</w:t>
      </w:r>
      <w:r>
        <w:rPr>
          <w:rFonts w:ascii="Garamond" w:hAnsi="Garamond"/>
          <w:sz w:val="24"/>
          <w:szCs w:val="24"/>
        </w:rPr>
        <w:t xml:space="preserve"> la formale adozione da parte d</w:t>
      </w:r>
      <w:r w:rsidRPr="00405153">
        <w:rPr>
          <w:rFonts w:ascii="Garamond" w:hAnsi="Garamond"/>
          <w:sz w:val="24"/>
          <w:szCs w:val="24"/>
        </w:rPr>
        <w:t>el Consiglio europeo e il parere degli esecutivi nazionali</w:t>
      </w:r>
      <w:r>
        <w:rPr>
          <w:rFonts w:ascii="Garamond" w:hAnsi="Garamond"/>
          <w:sz w:val="24"/>
          <w:szCs w:val="24"/>
        </w:rPr>
        <w:t>.</w:t>
      </w:r>
      <w:r w:rsidR="00965CDA">
        <w:rPr>
          <w:rFonts w:ascii="Garamond" w:hAnsi="Garamond"/>
          <w:sz w:val="24"/>
          <w:szCs w:val="24"/>
        </w:rPr>
        <w:t xml:space="preserve"> </w:t>
      </w:r>
      <w:r>
        <w:rPr>
          <w:rFonts w:ascii="Garamond" w:hAnsi="Garamond"/>
          <w:sz w:val="24"/>
          <w:szCs w:val="24"/>
        </w:rPr>
        <w:t xml:space="preserve">È interessante notare che tale strumento - </w:t>
      </w:r>
      <w:r w:rsidRPr="00405153">
        <w:rPr>
          <w:rFonts w:ascii="Garamond" w:hAnsi="Garamond"/>
          <w:sz w:val="24"/>
          <w:szCs w:val="24"/>
        </w:rPr>
        <w:t xml:space="preserve">concepito con lo scopo di </w:t>
      </w:r>
      <w:r>
        <w:rPr>
          <w:rFonts w:ascii="Garamond" w:hAnsi="Garamond"/>
          <w:sz w:val="24"/>
          <w:szCs w:val="24"/>
        </w:rPr>
        <w:t xml:space="preserve">agevolare la libertà di circolazione </w:t>
      </w:r>
      <w:r w:rsidRPr="00405153">
        <w:rPr>
          <w:rFonts w:ascii="Garamond" w:hAnsi="Garamond"/>
          <w:sz w:val="24"/>
          <w:szCs w:val="24"/>
        </w:rPr>
        <w:t>d</w:t>
      </w:r>
      <w:r>
        <w:rPr>
          <w:rFonts w:ascii="Garamond" w:hAnsi="Garamond"/>
          <w:sz w:val="24"/>
          <w:szCs w:val="24"/>
        </w:rPr>
        <w:t xml:space="preserve">ei </w:t>
      </w:r>
      <w:r w:rsidRPr="00405153">
        <w:rPr>
          <w:rFonts w:ascii="Garamond" w:hAnsi="Garamond"/>
          <w:sz w:val="24"/>
          <w:szCs w:val="24"/>
        </w:rPr>
        <w:t xml:space="preserve">cittadini europei (o di </w:t>
      </w:r>
      <w:r>
        <w:rPr>
          <w:rFonts w:ascii="Garamond" w:hAnsi="Garamond"/>
          <w:sz w:val="24"/>
          <w:szCs w:val="24"/>
        </w:rPr>
        <w:t>P</w:t>
      </w:r>
      <w:r w:rsidRPr="00405153">
        <w:rPr>
          <w:rFonts w:ascii="Garamond" w:hAnsi="Garamond"/>
          <w:sz w:val="24"/>
          <w:szCs w:val="24"/>
        </w:rPr>
        <w:t>a</w:t>
      </w:r>
      <w:r>
        <w:rPr>
          <w:rFonts w:ascii="Garamond" w:hAnsi="Garamond"/>
          <w:sz w:val="24"/>
          <w:szCs w:val="24"/>
        </w:rPr>
        <w:t xml:space="preserve">esi </w:t>
      </w:r>
      <w:r w:rsidRPr="00405153">
        <w:rPr>
          <w:rFonts w:ascii="Garamond" w:hAnsi="Garamond"/>
          <w:sz w:val="24"/>
          <w:szCs w:val="24"/>
        </w:rPr>
        <w:t>terzi</w:t>
      </w:r>
      <w:r w:rsidRPr="00405153">
        <w:rPr>
          <w:rStyle w:val="Rimandonotaapidipagina"/>
          <w:rFonts w:ascii="Garamond" w:hAnsi="Garamond"/>
          <w:sz w:val="24"/>
          <w:szCs w:val="24"/>
        </w:rPr>
        <w:footnoteReference w:id="3"/>
      </w:r>
      <w:r w:rsidRPr="00405153">
        <w:rPr>
          <w:rFonts w:ascii="Garamond" w:hAnsi="Garamond"/>
          <w:sz w:val="24"/>
          <w:szCs w:val="24"/>
        </w:rPr>
        <w:t xml:space="preserve"> regolarmente soggiornanti o residenti in Europa) nell’ambito dei viaggi</w:t>
      </w:r>
      <w:r>
        <w:rPr>
          <w:rStyle w:val="Rimandonotaapidipagina"/>
          <w:rFonts w:ascii="Garamond" w:hAnsi="Garamond"/>
          <w:sz w:val="24"/>
          <w:szCs w:val="24"/>
        </w:rPr>
        <w:footnoteReference w:id="4"/>
      </w:r>
      <w:r w:rsidRPr="00405153">
        <w:rPr>
          <w:rFonts w:ascii="Garamond" w:hAnsi="Garamond"/>
          <w:sz w:val="24"/>
          <w:szCs w:val="24"/>
        </w:rPr>
        <w:t xml:space="preserve"> all’interno dell’UE</w:t>
      </w:r>
      <w:r>
        <w:rPr>
          <w:rFonts w:ascii="Garamond" w:hAnsi="Garamond"/>
          <w:sz w:val="24"/>
          <w:szCs w:val="24"/>
        </w:rPr>
        <w:t xml:space="preserve"> –</w:t>
      </w:r>
      <w:r w:rsidRPr="00405153">
        <w:rPr>
          <w:rFonts w:ascii="Garamond" w:hAnsi="Garamond"/>
          <w:sz w:val="24"/>
          <w:szCs w:val="24"/>
        </w:rPr>
        <w:t xml:space="preserve"> </w:t>
      </w:r>
      <w:r>
        <w:rPr>
          <w:rFonts w:ascii="Garamond" w:hAnsi="Garamond"/>
          <w:sz w:val="24"/>
          <w:szCs w:val="24"/>
        </w:rPr>
        <w:t xml:space="preserve">(perlomeno nelle sue prime applicazioni europee) non ha costituito requisito obbligatorio per gli spostamenti dei passeggeri all’interno dell’area Schengen, discostandosi, pertanto, dalla natura tipica dei </w:t>
      </w:r>
      <w:r w:rsidR="00066BAD">
        <w:rPr>
          <w:rFonts w:ascii="Garamond" w:hAnsi="Garamond"/>
          <w:sz w:val="24"/>
          <w:szCs w:val="24"/>
        </w:rPr>
        <w:t>“</w:t>
      </w:r>
      <w:r>
        <w:rPr>
          <w:rFonts w:ascii="Garamond" w:hAnsi="Garamond"/>
          <w:sz w:val="24"/>
          <w:szCs w:val="24"/>
        </w:rPr>
        <w:t>passaporti vaccinali</w:t>
      </w:r>
      <w:r w:rsidR="00066BAD">
        <w:rPr>
          <w:rFonts w:ascii="Garamond" w:hAnsi="Garamond"/>
          <w:sz w:val="24"/>
          <w:szCs w:val="24"/>
        </w:rPr>
        <w:t>”</w:t>
      </w:r>
      <w:r>
        <w:rPr>
          <w:rStyle w:val="Rimandonotaapidipagina"/>
          <w:rFonts w:ascii="Garamond" w:hAnsi="Garamond"/>
          <w:sz w:val="24"/>
          <w:szCs w:val="24"/>
        </w:rPr>
        <w:footnoteReference w:id="5"/>
      </w:r>
      <w:r>
        <w:rPr>
          <w:rFonts w:ascii="Garamond" w:hAnsi="Garamond"/>
          <w:sz w:val="24"/>
          <w:szCs w:val="24"/>
        </w:rPr>
        <w:t>.</w:t>
      </w:r>
      <w:r w:rsidRPr="00405153">
        <w:rPr>
          <w:rFonts w:ascii="Garamond" w:hAnsi="Garamond"/>
          <w:sz w:val="24"/>
          <w:szCs w:val="24"/>
        </w:rPr>
        <w:t xml:space="preserve"> </w:t>
      </w:r>
      <w:r>
        <w:rPr>
          <w:rFonts w:ascii="Garamond" w:hAnsi="Garamond"/>
          <w:sz w:val="24"/>
          <w:szCs w:val="24"/>
        </w:rPr>
        <w:t xml:space="preserve">E’, infatti, evidente la </w:t>
      </w:r>
      <w:r w:rsidRPr="008136D3">
        <w:rPr>
          <w:rFonts w:ascii="Garamond" w:hAnsi="Garamond"/>
          <w:i/>
          <w:sz w:val="24"/>
          <w:szCs w:val="24"/>
        </w:rPr>
        <w:t>ratio</w:t>
      </w:r>
      <w:r>
        <w:rPr>
          <w:rFonts w:ascii="Garamond" w:hAnsi="Garamond"/>
          <w:sz w:val="24"/>
          <w:szCs w:val="24"/>
        </w:rPr>
        <w:t xml:space="preserve"> del legislatore europeo, che si spiega con la necessità di evitare (o comunque ridurre al minimo) eventuali discriminazioni tra soggetti vaccinati e non vaccinati (ovvero non guariti dal virus SARS-COV-2). Proprio per questo</w:t>
      </w:r>
      <w:r w:rsidRPr="00405153">
        <w:rPr>
          <w:rFonts w:ascii="Garamond" w:hAnsi="Garamond"/>
          <w:sz w:val="24"/>
          <w:szCs w:val="24"/>
        </w:rPr>
        <w:t xml:space="preserve">, la menzionata normativa europea ha previsto al par. 36 che il </w:t>
      </w:r>
      <w:r w:rsidRPr="00405153">
        <w:rPr>
          <w:rFonts w:ascii="Garamond" w:hAnsi="Garamond"/>
          <w:i/>
          <w:sz w:val="24"/>
          <w:szCs w:val="24"/>
        </w:rPr>
        <w:t>green pass</w:t>
      </w:r>
      <w:r w:rsidRPr="00405153">
        <w:rPr>
          <w:rFonts w:ascii="Garamond" w:hAnsi="Garamond"/>
          <w:sz w:val="24"/>
          <w:szCs w:val="24"/>
        </w:rPr>
        <w:t xml:space="preserve"> non </w:t>
      </w:r>
      <w:r w:rsidR="00066BAD" w:rsidRPr="00066BAD">
        <w:rPr>
          <w:rFonts w:ascii="Garamond" w:hAnsi="Garamond"/>
          <w:sz w:val="24"/>
          <w:szCs w:val="24"/>
        </w:rPr>
        <w:t>«</w:t>
      </w:r>
      <w:r w:rsidRPr="00156101">
        <w:rPr>
          <w:rFonts w:ascii="Garamond" w:hAnsi="Garamond"/>
          <w:sz w:val="24"/>
          <w:szCs w:val="24"/>
        </w:rPr>
        <w:t>istituisce un diritto o un obbligo a essere vaccinati</w:t>
      </w:r>
      <w:r w:rsidR="00066BAD" w:rsidRPr="00066BAD">
        <w:rPr>
          <w:rFonts w:ascii="Garamond" w:hAnsi="Garamond"/>
          <w:i/>
          <w:sz w:val="24"/>
          <w:szCs w:val="24"/>
        </w:rPr>
        <w:t>»</w:t>
      </w:r>
      <w:r w:rsidRPr="00405153">
        <w:rPr>
          <w:rStyle w:val="Rimandonotaapidipagina"/>
          <w:rFonts w:ascii="Garamond" w:hAnsi="Garamond"/>
          <w:sz w:val="24"/>
          <w:szCs w:val="24"/>
        </w:rPr>
        <w:footnoteReference w:id="6"/>
      </w:r>
      <w:r w:rsidRPr="00405153">
        <w:rPr>
          <w:rFonts w:ascii="Garamond" w:hAnsi="Garamond"/>
          <w:sz w:val="24"/>
          <w:szCs w:val="24"/>
        </w:rPr>
        <w:t>.</w:t>
      </w:r>
      <w:r>
        <w:rPr>
          <w:rFonts w:ascii="Garamond" w:hAnsi="Garamond"/>
          <w:sz w:val="24"/>
          <w:szCs w:val="24"/>
        </w:rPr>
        <w:tab/>
      </w:r>
      <w:r>
        <w:rPr>
          <w:rFonts w:ascii="Garamond" w:hAnsi="Garamond"/>
          <w:sz w:val="24"/>
          <w:szCs w:val="24"/>
        </w:rPr>
        <w:tab/>
      </w:r>
    </w:p>
    <w:p w14:paraId="0D547845" w14:textId="45A3E638" w:rsidR="0061721E"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Se questo è vero, però, in conseguenza del netto peggioramento del quadro epidemiologico in alcuni Paesi europei, all’inizio del 2022, alcuni legislatori</w:t>
      </w:r>
      <w:r w:rsidRPr="00405153">
        <w:rPr>
          <w:rStyle w:val="Rimandonotaapidipagina"/>
          <w:rFonts w:ascii="Garamond" w:hAnsi="Garamond"/>
          <w:sz w:val="24"/>
          <w:szCs w:val="24"/>
        </w:rPr>
        <w:footnoteReference w:id="7"/>
      </w:r>
      <w:r w:rsidRPr="00405153">
        <w:rPr>
          <w:rFonts w:ascii="Garamond" w:hAnsi="Garamond"/>
          <w:sz w:val="24"/>
          <w:szCs w:val="24"/>
        </w:rPr>
        <w:t xml:space="preserve"> hanno ritenuto opportuno </w:t>
      </w:r>
      <w:r w:rsidR="00066BAD">
        <w:rPr>
          <w:rFonts w:ascii="Garamond" w:hAnsi="Garamond"/>
          <w:sz w:val="24"/>
          <w:szCs w:val="24"/>
        </w:rPr>
        <w:t>“</w:t>
      </w:r>
      <w:r>
        <w:rPr>
          <w:rFonts w:ascii="Garamond" w:hAnsi="Garamond"/>
          <w:sz w:val="24"/>
          <w:szCs w:val="24"/>
        </w:rPr>
        <w:t>ra</w:t>
      </w:r>
      <w:r w:rsidRPr="00405153">
        <w:rPr>
          <w:rFonts w:ascii="Garamond" w:hAnsi="Garamond"/>
          <w:sz w:val="24"/>
          <w:szCs w:val="24"/>
        </w:rPr>
        <w:t>zionalizzare</w:t>
      </w:r>
      <w:r w:rsidR="00066BAD">
        <w:rPr>
          <w:rFonts w:ascii="Garamond" w:hAnsi="Garamond"/>
          <w:sz w:val="24"/>
          <w:szCs w:val="24"/>
        </w:rPr>
        <w:t>”</w:t>
      </w:r>
      <w:r w:rsidRPr="00405153">
        <w:rPr>
          <w:rFonts w:ascii="Garamond" w:hAnsi="Garamond"/>
          <w:sz w:val="24"/>
          <w:szCs w:val="24"/>
        </w:rPr>
        <w:t xml:space="preserve"> l’istituto del </w:t>
      </w:r>
      <w:r w:rsidRPr="00405153">
        <w:rPr>
          <w:rFonts w:ascii="Garamond" w:hAnsi="Garamond"/>
          <w:i/>
          <w:sz w:val="24"/>
          <w:szCs w:val="24"/>
        </w:rPr>
        <w:t>green pass</w:t>
      </w:r>
      <w:r w:rsidRPr="00405153">
        <w:rPr>
          <w:rFonts w:ascii="Garamond" w:hAnsi="Garamond"/>
          <w:sz w:val="24"/>
          <w:szCs w:val="24"/>
        </w:rPr>
        <w:t xml:space="preserve">, rendendo di fatto il vaccino o la guarigione dal Covid-19 requisiti obbligatori per l’accesso ad una moltitudine di attività, inclusi i luoghi di lavoro e le università (c.d. </w:t>
      </w:r>
      <w:r w:rsidRPr="00405153">
        <w:rPr>
          <w:rFonts w:ascii="Garamond" w:hAnsi="Garamond"/>
          <w:i/>
          <w:sz w:val="24"/>
          <w:szCs w:val="24"/>
        </w:rPr>
        <w:t>green pass rafforzato</w:t>
      </w:r>
      <w:r w:rsidRPr="00405153">
        <w:rPr>
          <w:rStyle w:val="Rimandonotaapidipagina"/>
          <w:rFonts w:ascii="Garamond" w:hAnsi="Garamond"/>
          <w:i/>
          <w:sz w:val="24"/>
          <w:szCs w:val="24"/>
        </w:rPr>
        <w:footnoteReference w:id="8"/>
      </w:r>
      <w:r w:rsidRPr="00405153">
        <w:rPr>
          <w:rFonts w:ascii="Garamond" w:hAnsi="Garamond"/>
          <w:sz w:val="24"/>
          <w:szCs w:val="24"/>
        </w:rPr>
        <w:t xml:space="preserve">), interferendo così con una serie di diritti costituzionalmente garantiti. Indubbiamente, da un lato, questa misura, ispirata ai valori di </w:t>
      </w:r>
      <w:r w:rsidRPr="00405153">
        <w:rPr>
          <w:rFonts w:ascii="Garamond" w:hAnsi="Garamond"/>
          <w:sz w:val="24"/>
          <w:szCs w:val="24"/>
        </w:rPr>
        <w:lastRenderedPageBreak/>
        <w:t>solidarietà sociale, ha costituito positivamente un incentivo</w:t>
      </w:r>
      <w:r>
        <w:rPr>
          <w:rStyle w:val="Rimandonotaapidipagina"/>
          <w:rFonts w:ascii="Garamond" w:hAnsi="Garamond"/>
          <w:sz w:val="24"/>
          <w:szCs w:val="24"/>
        </w:rPr>
        <w:footnoteReference w:id="9"/>
      </w:r>
      <w:r w:rsidRPr="00405153">
        <w:rPr>
          <w:rFonts w:ascii="Garamond" w:hAnsi="Garamond"/>
          <w:sz w:val="24"/>
          <w:szCs w:val="24"/>
        </w:rPr>
        <w:t xml:space="preserve"> alla vaccinazione per i cittadini europei, contribuendo significativamente all’aumento dell’immunizzazione (o, comunque della protezione) collettiva contro il Covid-19 nell’area Schengen, nella speranzosa attesa del raggiungimento dell’immunità di gregge</w:t>
      </w:r>
      <w:r w:rsidRPr="00405153">
        <w:rPr>
          <w:rStyle w:val="Rimandonotaapidipagina"/>
          <w:rFonts w:ascii="Garamond" w:hAnsi="Garamond"/>
          <w:sz w:val="24"/>
          <w:szCs w:val="24"/>
        </w:rPr>
        <w:footnoteReference w:id="10"/>
      </w:r>
      <w:r w:rsidRPr="00405153">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Pr="00405153">
        <w:rPr>
          <w:rFonts w:ascii="Garamond" w:hAnsi="Garamond"/>
          <w:sz w:val="24"/>
          <w:szCs w:val="24"/>
        </w:rPr>
        <w:t>Eppure, dall’altro, ha presto generato critiche in merito alla sua legittimità, sostenendo alcuni, che tale strumento introducesse di fatto in maniera prescrittiva</w:t>
      </w:r>
      <w:r w:rsidRPr="00405153">
        <w:rPr>
          <w:rStyle w:val="Rimandonotaapidipagina"/>
          <w:rFonts w:ascii="Garamond" w:hAnsi="Garamond"/>
          <w:sz w:val="24"/>
          <w:szCs w:val="24"/>
        </w:rPr>
        <w:footnoteReference w:id="11"/>
      </w:r>
      <w:r w:rsidRPr="00405153">
        <w:rPr>
          <w:rFonts w:ascii="Garamond" w:hAnsi="Garamond"/>
          <w:sz w:val="24"/>
          <w:szCs w:val="24"/>
        </w:rPr>
        <w:t xml:space="preserve"> un obbligo di vaccinazione indiretto, ponendosi, pertanto, non solo in violazione delle libertà fondamentali garantite</w:t>
      </w:r>
      <w:r>
        <w:rPr>
          <w:rFonts w:ascii="Garamond" w:hAnsi="Garamond"/>
          <w:sz w:val="24"/>
          <w:szCs w:val="24"/>
        </w:rPr>
        <w:t xml:space="preserve"> da numerose costituzioni nazionali</w:t>
      </w:r>
      <w:r w:rsidRPr="00405153">
        <w:rPr>
          <w:rFonts w:ascii="Garamond" w:hAnsi="Garamond"/>
          <w:sz w:val="24"/>
          <w:szCs w:val="24"/>
        </w:rPr>
        <w:t xml:space="preserve"> </w:t>
      </w:r>
      <w:r>
        <w:rPr>
          <w:rFonts w:ascii="Garamond" w:hAnsi="Garamond"/>
          <w:sz w:val="24"/>
          <w:szCs w:val="24"/>
        </w:rPr>
        <w:t xml:space="preserve">dei </w:t>
      </w:r>
      <w:r w:rsidR="00096C22">
        <w:rPr>
          <w:rFonts w:ascii="Garamond" w:hAnsi="Garamond"/>
          <w:sz w:val="24"/>
          <w:szCs w:val="24"/>
        </w:rPr>
        <w:t>P</w:t>
      </w:r>
      <w:r>
        <w:rPr>
          <w:rFonts w:ascii="Garamond" w:hAnsi="Garamond"/>
          <w:sz w:val="24"/>
          <w:szCs w:val="24"/>
        </w:rPr>
        <w:t xml:space="preserve">aesi dell’UE </w:t>
      </w:r>
      <w:r w:rsidRPr="00405153">
        <w:rPr>
          <w:rFonts w:ascii="Garamond" w:hAnsi="Garamond"/>
          <w:sz w:val="24"/>
          <w:szCs w:val="24"/>
        </w:rPr>
        <w:t xml:space="preserve">e dalla CEDU, ma anche dello stesso Regolamento europeo, che vieterebbe, infatti, una simile interpretazione della predetta misura. </w:t>
      </w:r>
      <w:r>
        <w:rPr>
          <w:rFonts w:ascii="Garamond" w:hAnsi="Garamond"/>
          <w:sz w:val="24"/>
          <w:szCs w:val="24"/>
        </w:rPr>
        <w:tab/>
      </w:r>
      <w:r w:rsidRPr="00405153">
        <w:rPr>
          <w:rFonts w:ascii="Garamond" w:hAnsi="Garamond"/>
          <w:sz w:val="24"/>
          <w:szCs w:val="24"/>
        </w:rPr>
        <w:t xml:space="preserve">Altri hanno, invece, rivendicato, con scarsi risultati, come il </w:t>
      </w:r>
      <w:r w:rsidRPr="002164D4">
        <w:rPr>
          <w:rFonts w:ascii="Garamond" w:hAnsi="Garamond"/>
          <w:i/>
          <w:sz w:val="24"/>
          <w:szCs w:val="24"/>
        </w:rPr>
        <w:t>green pass</w:t>
      </w:r>
      <w:r w:rsidRPr="00405153">
        <w:rPr>
          <w:rFonts w:ascii="Garamond" w:hAnsi="Garamond"/>
          <w:sz w:val="24"/>
          <w:szCs w:val="24"/>
        </w:rPr>
        <w:t xml:space="preserve"> incida sulla </w:t>
      </w:r>
      <w:r w:rsidRPr="00B37BA8">
        <w:rPr>
          <w:rFonts w:ascii="Garamond" w:hAnsi="Garamond"/>
          <w:i/>
          <w:sz w:val="24"/>
          <w:szCs w:val="24"/>
        </w:rPr>
        <w:t>privacy</w:t>
      </w:r>
      <w:r w:rsidRPr="00405153">
        <w:rPr>
          <w:rStyle w:val="Rimandonotaapidipagina"/>
          <w:rFonts w:ascii="Garamond" w:hAnsi="Garamond"/>
          <w:sz w:val="24"/>
          <w:szCs w:val="24"/>
        </w:rPr>
        <w:footnoteReference w:id="12"/>
      </w:r>
      <w:r w:rsidRPr="00405153">
        <w:rPr>
          <w:rFonts w:ascii="Garamond" w:hAnsi="Garamond"/>
          <w:sz w:val="24"/>
          <w:szCs w:val="24"/>
        </w:rPr>
        <w:t xml:space="preserve"> (attraverso la scansione del </w:t>
      </w:r>
      <w:r w:rsidRPr="00405153">
        <w:rPr>
          <w:rFonts w:ascii="Garamond" w:hAnsi="Garamond"/>
          <w:i/>
          <w:sz w:val="24"/>
          <w:szCs w:val="24"/>
        </w:rPr>
        <w:t>QR code</w:t>
      </w:r>
      <w:r w:rsidRPr="00405153">
        <w:rPr>
          <w:rFonts w:ascii="Garamond" w:hAnsi="Garamond"/>
          <w:sz w:val="24"/>
          <w:szCs w:val="24"/>
        </w:rPr>
        <w:t xml:space="preserve"> che racchiude dati sensibili del titolare) e sul diritto all’autodeterminazione individuale ai trattamenti sanitari, stante la necessità di tutelare la salute pubblica. È proprio su questo sfondo che si inserisce il presente scritto, volto ad esaminare la compatibilità della certificazione verde francese con le norme della CEDU e dell’Unione europea, attraverso la disamina della recente pronuncia del </w:t>
      </w:r>
      <w:proofErr w:type="spellStart"/>
      <w:r w:rsidRPr="00405153">
        <w:rPr>
          <w:rFonts w:ascii="Garamond" w:hAnsi="Garamond"/>
          <w:i/>
          <w:sz w:val="24"/>
          <w:szCs w:val="24"/>
        </w:rPr>
        <w:t>Conseil</w:t>
      </w:r>
      <w:proofErr w:type="spellEnd"/>
      <w:r w:rsidRPr="00405153">
        <w:rPr>
          <w:rFonts w:ascii="Garamond" w:hAnsi="Garamond"/>
          <w:i/>
          <w:sz w:val="24"/>
          <w:szCs w:val="24"/>
        </w:rPr>
        <w:t xml:space="preserve"> </w:t>
      </w:r>
      <w:proofErr w:type="spellStart"/>
      <w:r w:rsidRPr="00405153">
        <w:rPr>
          <w:rFonts w:ascii="Garamond" w:hAnsi="Garamond"/>
          <w:i/>
          <w:sz w:val="24"/>
          <w:szCs w:val="24"/>
        </w:rPr>
        <w:t>Constitutionnel</w:t>
      </w:r>
      <w:proofErr w:type="spellEnd"/>
      <w:r w:rsidRPr="00405153">
        <w:rPr>
          <w:rFonts w:ascii="Garamond" w:hAnsi="Garamond"/>
          <w:sz w:val="24"/>
          <w:szCs w:val="24"/>
        </w:rPr>
        <w:t xml:space="preserve">, dando altresì conto della giurisprudenza della Corte di Strasburgo </w:t>
      </w:r>
      <w:r>
        <w:rPr>
          <w:rFonts w:ascii="Garamond" w:hAnsi="Garamond"/>
          <w:sz w:val="24"/>
          <w:szCs w:val="24"/>
        </w:rPr>
        <w:t xml:space="preserve">e di Lussemburgo </w:t>
      </w:r>
      <w:r w:rsidRPr="00405153">
        <w:rPr>
          <w:rFonts w:ascii="Garamond" w:hAnsi="Garamond"/>
          <w:sz w:val="24"/>
          <w:szCs w:val="24"/>
        </w:rPr>
        <w:t>in materia.</w:t>
      </w:r>
    </w:p>
    <w:p w14:paraId="3AC5C37A" w14:textId="40F17BD5" w:rsidR="00656A51" w:rsidRPr="00405153" w:rsidRDefault="00764AD6" w:rsidP="0061721E">
      <w:pPr>
        <w:spacing w:after="0" w:line="240" w:lineRule="auto"/>
        <w:ind w:firstLine="567"/>
        <w:jc w:val="both"/>
        <w:rPr>
          <w:rFonts w:ascii="Garamond" w:hAnsi="Garamond"/>
          <w:sz w:val="24"/>
          <w:szCs w:val="24"/>
        </w:rPr>
      </w:pPr>
      <w:r>
        <w:rPr>
          <w:rFonts w:ascii="Garamond" w:hAnsi="Garamond"/>
          <w:sz w:val="24"/>
          <w:szCs w:val="24"/>
        </w:rPr>
        <w:t xml:space="preserve">  </w:t>
      </w:r>
      <w:r w:rsidR="00656A51" w:rsidRPr="00405153">
        <w:rPr>
          <w:rFonts w:ascii="Garamond" w:hAnsi="Garamond"/>
          <w:sz w:val="24"/>
          <w:szCs w:val="24"/>
        </w:rPr>
        <w:t xml:space="preserve">Col presente lavoro non si intende, dunque, ricostruire la </w:t>
      </w:r>
      <w:r w:rsidR="00656A51" w:rsidRPr="00405153">
        <w:rPr>
          <w:rFonts w:ascii="Garamond" w:hAnsi="Garamond"/>
          <w:i/>
          <w:sz w:val="24"/>
          <w:szCs w:val="24"/>
        </w:rPr>
        <w:t>governance</w:t>
      </w:r>
      <w:r w:rsidR="00656A51" w:rsidRPr="00405153">
        <w:rPr>
          <w:rFonts w:ascii="Garamond" w:hAnsi="Garamond"/>
          <w:sz w:val="24"/>
          <w:szCs w:val="24"/>
        </w:rPr>
        <w:t xml:space="preserve"> delle emergenze sanitarie pubbliche di rilevanza internazionale (c.d. </w:t>
      </w:r>
      <w:r w:rsidR="00656A51" w:rsidRPr="004B433D">
        <w:rPr>
          <w:rFonts w:ascii="Garamond" w:hAnsi="Garamond"/>
          <w:i/>
          <w:sz w:val="24"/>
          <w:szCs w:val="24"/>
        </w:rPr>
        <w:t>PHEIC</w:t>
      </w:r>
      <w:r w:rsidR="00656A51">
        <w:rPr>
          <w:rFonts w:ascii="Garamond" w:hAnsi="Garamond"/>
          <w:sz w:val="24"/>
          <w:szCs w:val="24"/>
        </w:rPr>
        <w:t>)</w:t>
      </w:r>
      <w:r w:rsidR="00656A51" w:rsidRPr="00405153">
        <w:rPr>
          <w:rStyle w:val="Rimandonotaapidipagina"/>
          <w:rFonts w:ascii="Garamond" w:hAnsi="Garamond"/>
          <w:sz w:val="24"/>
          <w:szCs w:val="24"/>
        </w:rPr>
        <w:footnoteReference w:id="13"/>
      </w:r>
      <w:r w:rsidR="00656A51">
        <w:rPr>
          <w:rFonts w:ascii="Garamond" w:hAnsi="Garamond"/>
          <w:sz w:val="24"/>
          <w:szCs w:val="24"/>
        </w:rPr>
        <w:t>.</w:t>
      </w:r>
      <w:r w:rsidR="00732EFE">
        <w:rPr>
          <w:rFonts w:ascii="Garamond" w:hAnsi="Garamond"/>
          <w:sz w:val="24"/>
          <w:szCs w:val="24"/>
        </w:rPr>
        <w:t xml:space="preserve">  </w:t>
      </w:r>
      <w:r w:rsidR="00656A51" w:rsidRPr="00405153">
        <w:rPr>
          <w:rFonts w:ascii="Garamond" w:hAnsi="Garamond"/>
          <w:sz w:val="24"/>
          <w:szCs w:val="24"/>
        </w:rPr>
        <w:t xml:space="preserve">Più semplicemente, si cercherà </w:t>
      </w:r>
      <w:r w:rsidR="00656A51" w:rsidRPr="00405153">
        <w:rPr>
          <w:rFonts w:ascii="Garamond" w:hAnsi="Garamond"/>
          <w:sz w:val="24"/>
          <w:szCs w:val="24"/>
        </w:rPr>
        <w:lastRenderedPageBreak/>
        <w:t>di avviare delle riflessioni sull</w:t>
      </w:r>
      <w:r w:rsidR="00656A51">
        <w:rPr>
          <w:rFonts w:ascii="Garamond" w:hAnsi="Garamond"/>
          <w:sz w:val="24"/>
          <w:szCs w:val="24"/>
        </w:rPr>
        <w:t xml:space="preserve">a base giuridica del </w:t>
      </w:r>
      <w:r w:rsidR="00656A51" w:rsidRPr="00FA32C9">
        <w:rPr>
          <w:rFonts w:ascii="Garamond" w:hAnsi="Garamond"/>
          <w:i/>
          <w:sz w:val="24"/>
          <w:szCs w:val="24"/>
        </w:rPr>
        <w:t>green pass</w:t>
      </w:r>
      <w:r w:rsidR="00656A51">
        <w:rPr>
          <w:rFonts w:ascii="Garamond" w:hAnsi="Garamond"/>
          <w:sz w:val="24"/>
          <w:szCs w:val="24"/>
        </w:rPr>
        <w:t xml:space="preserve"> europeo nonché sulle</w:t>
      </w:r>
      <w:r w:rsidR="00656A51" w:rsidRPr="00405153">
        <w:rPr>
          <w:rFonts w:ascii="Garamond" w:hAnsi="Garamond"/>
          <w:sz w:val="24"/>
          <w:szCs w:val="24"/>
        </w:rPr>
        <w:t xml:space="preserve"> ragioni politico-giuridiche espresse dalle summenzionate </w:t>
      </w:r>
      <w:r w:rsidR="002164D4">
        <w:rPr>
          <w:rFonts w:ascii="Garamond" w:hAnsi="Garamond"/>
          <w:sz w:val="24"/>
          <w:szCs w:val="24"/>
        </w:rPr>
        <w:t>c</w:t>
      </w:r>
      <w:r w:rsidR="00656A51">
        <w:rPr>
          <w:rFonts w:ascii="Garamond" w:hAnsi="Garamond"/>
          <w:sz w:val="24"/>
          <w:szCs w:val="24"/>
        </w:rPr>
        <w:t>o</w:t>
      </w:r>
      <w:r w:rsidR="00656A51" w:rsidRPr="00405153">
        <w:rPr>
          <w:rFonts w:ascii="Garamond" w:hAnsi="Garamond"/>
          <w:sz w:val="24"/>
          <w:szCs w:val="24"/>
        </w:rPr>
        <w:t xml:space="preserve">rti a favore della legittimità del </w:t>
      </w:r>
      <w:r w:rsidR="00656A51" w:rsidRPr="00405153">
        <w:rPr>
          <w:rFonts w:ascii="Garamond" w:hAnsi="Garamond"/>
          <w:i/>
          <w:sz w:val="24"/>
          <w:szCs w:val="24"/>
        </w:rPr>
        <w:t xml:space="preserve">passe </w:t>
      </w:r>
      <w:proofErr w:type="spellStart"/>
      <w:r w:rsidR="00656A51" w:rsidRPr="00405153">
        <w:rPr>
          <w:rFonts w:ascii="Garamond" w:hAnsi="Garamond"/>
          <w:i/>
          <w:sz w:val="24"/>
          <w:szCs w:val="24"/>
        </w:rPr>
        <w:t>sanitaire</w:t>
      </w:r>
      <w:proofErr w:type="spellEnd"/>
      <w:r w:rsidR="00656A51" w:rsidRPr="00405153">
        <w:rPr>
          <w:rFonts w:ascii="Garamond" w:hAnsi="Garamond"/>
          <w:i/>
          <w:sz w:val="24"/>
          <w:szCs w:val="24"/>
        </w:rPr>
        <w:t xml:space="preserve"> </w:t>
      </w:r>
      <w:r w:rsidR="00656A51" w:rsidRPr="00405153">
        <w:rPr>
          <w:rFonts w:ascii="Garamond" w:hAnsi="Garamond"/>
          <w:sz w:val="24"/>
          <w:szCs w:val="24"/>
        </w:rPr>
        <w:t>nazionale (francese) rispetto alla CEDU e al diritto dell’Unione europea, che contribuiscono a ravvivare il dibattito su uno strumento potenzialmente applicabile</w:t>
      </w:r>
      <w:r w:rsidR="00656A51">
        <w:rPr>
          <w:rFonts w:ascii="Garamond" w:hAnsi="Garamond"/>
          <w:sz w:val="24"/>
          <w:szCs w:val="24"/>
        </w:rPr>
        <w:t>,</w:t>
      </w:r>
      <w:r w:rsidR="00656A51" w:rsidRPr="00405153">
        <w:rPr>
          <w:rFonts w:ascii="Garamond" w:hAnsi="Garamond"/>
          <w:sz w:val="24"/>
          <w:szCs w:val="24"/>
        </w:rPr>
        <w:t xml:space="preserve"> per contrastare la diffusione d</w:t>
      </w:r>
      <w:r w:rsidR="00656A51">
        <w:rPr>
          <w:rFonts w:ascii="Garamond" w:hAnsi="Garamond"/>
          <w:sz w:val="24"/>
          <w:szCs w:val="24"/>
        </w:rPr>
        <w:t xml:space="preserve">i </w:t>
      </w:r>
      <w:r w:rsidR="00656A51" w:rsidRPr="00405153">
        <w:rPr>
          <w:rFonts w:ascii="Garamond" w:hAnsi="Garamond"/>
          <w:sz w:val="24"/>
          <w:szCs w:val="24"/>
        </w:rPr>
        <w:t>future malattie infettive, al fine di testare le potenzialità e l’impatto</w:t>
      </w:r>
      <w:r w:rsidR="00656A51">
        <w:rPr>
          <w:rStyle w:val="Rimandonotaapidipagina"/>
          <w:rFonts w:ascii="Garamond" w:hAnsi="Garamond"/>
          <w:sz w:val="24"/>
          <w:szCs w:val="24"/>
        </w:rPr>
        <w:footnoteReference w:id="14"/>
      </w:r>
      <w:r w:rsidR="00656A51" w:rsidRPr="00405153">
        <w:rPr>
          <w:rFonts w:ascii="Garamond" w:hAnsi="Garamond"/>
          <w:sz w:val="24"/>
          <w:szCs w:val="24"/>
        </w:rPr>
        <w:t xml:space="preserve"> d</w:t>
      </w:r>
      <w:r w:rsidR="00930159">
        <w:rPr>
          <w:rFonts w:ascii="Garamond" w:hAnsi="Garamond"/>
          <w:sz w:val="24"/>
          <w:szCs w:val="24"/>
        </w:rPr>
        <w:t xml:space="preserve">i tale istituto </w:t>
      </w:r>
      <w:r w:rsidR="00656A51" w:rsidRPr="00405153">
        <w:rPr>
          <w:rFonts w:ascii="Garamond" w:hAnsi="Garamond"/>
          <w:sz w:val="24"/>
          <w:szCs w:val="24"/>
        </w:rPr>
        <w:t>sui diritti e sulle libertà fondamentali nell’ambito dei contesti emergenziali.</w:t>
      </w:r>
    </w:p>
    <w:p w14:paraId="4FE90107" w14:textId="77777777" w:rsidR="00656A51" w:rsidRDefault="00656A51" w:rsidP="0061721E">
      <w:pPr>
        <w:spacing w:after="0" w:line="240" w:lineRule="auto"/>
        <w:ind w:firstLine="567"/>
        <w:jc w:val="both"/>
        <w:rPr>
          <w:rFonts w:ascii="Garamond" w:hAnsi="Garamond"/>
          <w:sz w:val="24"/>
          <w:szCs w:val="24"/>
        </w:rPr>
      </w:pPr>
    </w:p>
    <w:p w14:paraId="0B7A06B2" w14:textId="77777777" w:rsidR="00656A51" w:rsidRPr="00405153" w:rsidRDefault="00656A51" w:rsidP="0061721E">
      <w:pPr>
        <w:spacing w:after="0" w:line="240" w:lineRule="auto"/>
        <w:ind w:firstLine="567"/>
        <w:jc w:val="both"/>
        <w:rPr>
          <w:rFonts w:ascii="Garamond" w:hAnsi="Garamond"/>
          <w:sz w:val="24"/>
          <w:szCs w:val="24"/>
        </w:rPr>
      </w:pPr>
    </w:p>
    <w:p w14:paraId="25DAE5F6" w14:textId="352490DF" w:rsidR="00697A9A" w:rsidRDefault="00697A9A" w:rsidP="00697A9A">
      <w:pPr>
        <w:spacing w:after="0" w:line="240" w:lineRule="auto"/>
        <w:jc w:val="both"/>
        <w:rPr>
          <w:rFonts w:ascii="Garamond" w:hAnsi="Garamond"/>
          <w:i/>
          <w:iCs/>
          <w:sz w:val="24"/>
          <w:szCs w:val="24"/>
        </w:rPr>
      </w:pPr>
      <w:r w:rsidRPr="00FA35C7">
        <w:rPr>
          <w:rFonts w:ascii="Garamond" w:hAnsi="Garamond"/>
          <w:iCs/>
          <w:sz w:val="24"/>
          <w:szCs w:val="24"/>
        </w:rPr>
        <w:t>2</w:t>
      </w:r>
      <w:r w:rsidRPr="00697A9A">
        <w:rPr>
          <w:rFonts w:ascii="Garamond" w:hAnsi="Garamond"/>
          <w:i/>
          <w:iCs/>
          <w:sz w:val="24"/>
          <w:szCs w:val="24"/>
        </w:rPr>
        <w:t>.</w:t>
      </w:r>
      <w:r>
        <w:rPr>
          <w:rFonts w:ascii="Garamond" w:hAnsi="Garamond"/>
          <w:i/>
          <w:iCs/>
          <w:sz w:val="24"/>
          <w:szCs w:val="24"/>
        </w:rPr>
        <w:t xml:space="preserve"> </w:t>
      </w:r>
      <w:r w:rsidR="00732EFE">
        <w:rPr>
          <w:rFonts w:ascii="Garamond" w:hAnsi="Garamond"/>
          <w:i/>
          <w:iCs/>
          <w:sz w:val="24"/>
          <w:szCs w:val="24"/>
        </w:rPr>
        <w:t xml:space="preserve"> </w:t>
      </w:r>
      <w:r w:rsidR="00656A51" w:rsidRPr="00697A9A">
        <w:rPr>
          <w:rFonts w:ascii="Garamond" w:hAnsi="Garamond"/>
          <w:i/>
          <w:iCs/>
          <w:sz w:val="24"/>
          <w:szCs w:val="24"/>
        </w:rPr>
        <w:t>Il fondamento giuridico del green pass dell’UE e il suo impatto sui diritti fondamentali</w:t>
      </w:r>
    </w:p>
    <w:p w14:paraId="238DB2DF" w14:textId="34461D48" w:rsidR="00697A9A" w:rsidRDefault="00697A9A" w:rsidP="00697A9A">
      <w:pPr>
        <w:spacing w:after="0" w:line="240" w:lineRule="auto"/>
        <w:jc w:val="both"/>
        <w:rPr>
          <w:rFonts w:ascii="Garamond" w:hAnsi="Garamond"/>
          <w:i/>
          <w:iCs/>
          <w:sz w:val="24"/>
          <w:szCs w:val="24"/>
        </w:rPr>
      </w:pPr>
    </w:p>
    <w:p w14:paraId="00DE25F5" w14:textId="77777777" w:rsidR="00697A9A" w:rsidRDefault="00697A9A" w:rsidP="00697A9A">
      <w:pPr>
        <w:spacing w:after="0" w:line="240" w:lineRule="auto"/>
        <w:jc w:val="both"/>
        <w:rPr>
          <w:rFonts w:ascii="Garamond" w:hAnsi="Garamond"/>
          <w:i/>
          <w:iCs/>
          <w:sz w:val="24"/>
          <w:szCs w:val="24"/>
        </w:rPr>
      </w:pPr>
    </w:p>
    <w:p w14:paraId="24EFD872" w14:textId="77777777" w:rsidR="00970264" w:rsidRDefault="00656A51" w:rsidP="00697A9A">
      <w:pPr>
        <w:spacing w:after="0" w:line="240" w:lineRule="auto"/>
        <w:ind w:firstLine="567"/>
        <w:jc w:val="both"/>
        <w:rPr>
          <w:rFonts w:ascii="Garamond" w:hAnsi="Garamond"/>
          <w:sz w:val="24"/>
          <w:szCs w:val="24"/>
        </w:rPr>
      </w:pPr>
      <w:r>
        <w:rPr>
          <w:rFonts w:ascii="Garamond" w:hAnsi="Garamond"/>
          <w:sz w:val="24"/>
          <w:szCs w:val="24"/>
        </w:rPr>
        <w:t>È ormai evidente come a seguito della globalizzazione degli scambi economici (intravista già agli inizi del XVIII secolo) abbia acquisito maggiore concretezza la possibilità di diffusione delle più svariate malattie infettive</w:t>
      </w:r>
      <w:r>
        <w:rPr>
          <w:rStyle w:val="Rimandonotaapidipagina"/>
          <w:rFonts w:ascii="Garamond" w:hAnsi="Garamond"/>
          <w:sz w:val="24"/>
          <w:szCs w:val="24"/>
        </w:rPr>
        <w:footnoteReference w:id="15"/>
      </w:r>
      <w:r>
        <w:rPr>
          <w:rFonts w:ascii="Garamond" w:hAnsi="Garamond"/>
          <w:sz w:val="24"/>
          <w:szCs w:val="24"/>
        </w:rPr>
        <w:t xml:space="preserve">. Così come, altrettanto numerose sono le modalità attraverso le quali è possibile trasmettere le malattie infettive. Tra queste spicca certamente il contagio dall’animale all’uomo, venuto in rilievo come possibile fonte di infezione anche nel caso del Covid-19, la cui origine ha formato oggetto di studio di un </w:t>
      </w:r>
      <w:r w:rsidR="00930159">
        <w:rPr>
          <w:rFonts w:ascii="Garamond" w:hAnsi="Garamond"/>
          <w:sz w:val="24"/>
          <w:szCs w:val="24"/>
        </w:rPr>
        <w:t xml:space="preserve">controverso </w:t>
      </w:r>
      <w:r w:rsidRPr="007451ED">
        <w:rPr>
          <w:rFonts w:ascii="Garamond" w:hAnsi="Garamond"/>
          <w:i/>
          <w:sz w:val="24"/>
          <w:szCs w:val="24"/>
        </w:rPr>
        <w:t>report</w:t>
      </w:r>
      <w:r>
        <w:rPr>
          <w:rFonts w:ascii="Garamond" w:hAnsi="Garamond"/>
          <w:sz w:val="24"/>
          <w:szCs w:val="24"/>
        </w:rPr>
        <w:t xml:space="preserve"> da parte di un gruppo di esperti indipendenti dell’OMS pubblicato a febbraio 2021</w:t>
      </w:r>
      <w:r>
        <w:rPr>
          <w:rStyle w:val="Rimandonotaapidipagina"/>
          <w:rFonts w:ascii="Garamond" w:hAnsi="Garamond"/>
          <w:sz w:val="24"/>
          <w:szCs w:val="24"/>
        </w:rPr>
        <w:footnoteReference w:id="16"/>
      </w:r>
      <w:r>
        <w:rPr>
          <w:rFonts w:ascii="Garamond" w:hAnsi="Garamond"/>
          <w:sz w:val="24"/>
          <w:szCs w:val="24"/>
        </w:rPr>
        <w:t xml:space="preserve">; e più recentemente nel caso della diffusione del virus del vaiolo delle </w:t>
      </w:r>
      <w:r>
        <w:rPr>
          <w:rFonts w:ascii="Garamond" w:hAnsi="Garamond"/>
          <w:sz w:val="24"/>
          <w:szCs w:val="24"/>
        </w:rPr>
        <w:lastRenderedPageBreak/>
        <w:t>scimmie</w:t>
      </w:r>
      <w:r>
        <w:rPr>
          <w:rStyle w:val="Rimandonotaapidipagina"/>
          <w:rFonts w:ascii="Garamond" w:hAnsi="Garamond"/>
          <w:sz w:val="24"/>
          <w:szCs w:val="24"/>
        </w:rPr>
        <w:footnoteReference w:id="17"/>
      </w:r>
      <w:r>
        <w:rPr>
          <w:rFonts w:ascii="Garamond" w:hAnsi="Garamond"/>
          <w:sz w:val="24"/>
          <w:szCs w:val="24"/>
        </w:rPr>
        <w:t xml:space="preserve"> (c.d. </w:t>
      </w:r>
      <w:proofErr w:type="spellStart"/>
      <w:r w:rsidRPr="004C56BC">
        <w:rPr>
          <w:rFonts w:ascii="Garamond" w:hAnsi="Garamond"/>
          <w:i/>
          <w:sz w:val="24"/>
          <w:szCs w:val="24"/>
        </w:rPr>
        <w:t>monkeypox</w:t>
      </w:r>
      <w:proofErr w:type="spellEnd"/>
      <w:r>
        <w:rPr>
          <w:rFonts w:ascii="Garamond" w:hAnsi="Garamond"/>
          <w:sz w:val="24"/>
          <w:szCs w:val="24"/>
        </w:rPr>
        <w:t>). Ciò ha, infatti, indotto la comunità internazionale (e, nel caso che ci interessa, successivamente anche la stessa Unione europea</w:t>
      </w:r>
      <w:r>
        <w:rPr>
          <w:rStyle w:val="Rimandonotaapidipagina"/>
          <w:rFonts w:ascii="Garamond" w:hAnsi="Garamond"/>
          <w:sz w:val="24"/>
          <w:szCs w:val="24"/>
        </w:rPr>
        <w:footnoteReference w:id="18"/>
      </w:r>
      <w:r>
        <w:rPr>
          <w:rFonts w:ascii="Garamond" w:hAnsi="Garamond"/>
          <w:sz w:val="24"/>
          <w:szCs w:val="24"/>
        </w:rPr>
        <w:t>) a reagire vigorosamente innanzi a queste sfide di portata globale, avviando varie forme giuridiche di cooperazione multilaterale (sia pure rinunciando ad una modesta quota di sovranità statale),</w:t>
      </w:r>
      <w:r>
        <w:rPr>
          <w:rStyle w:val="Rimandonotaapidipagina"/>
          <w:rFonts w:ascii="Garamond" w:hAnsi="Garamond"/>
          <w:sz w:val="24"/>
          <w:szCs w:val="24"/>
        </w:rPr>
        <w:footnoteReference w:id="19"/>
      </w:r>
      <w:r>
        <w:rPr>
          <w:rFonts w:ascii="Garamond" w:hAnsi="Garamond"/>
          <w:sz w:val="24"/>
          <w:szCs w:val="24"/>
        </w:rPr>
        <w:t xml:space="preserve"> in un’ottica di armonizzazione legislativa, per impedire (o comunque limitare) la propagazione delle malattie infettive nel mondo. </w:t>
      </w:r>
    </w:p>
    <w:p w14:paraId="75D5C627" w14:textId="77777777" w:rsidR="00970264" w:rsidRDefault="00656A51" w:rsidP="00697A9A">
      <w:pPr>
        <w:spacing w:after="0" w:line="240" w:lineRule="auto"/>
        <w:ind w:firstLine="567"/>
        <w:jc w:val="both"/>
        <w:rPr>
          <w:rFonts w:ascii="Garamond" w:hAnsi="Garamond"/>
          <w:sz w:val="24"/>
          <w:szCs w:val="24"/>
        </w:rPr>
      </w:pPr>
      <w:r>
        <w:rPr>
          <w:rFonts w:ascii="Garamond" w:hAnsi="Garamond"/>
          <w:sz w:val="24"/>
          <w:szCs w:val="24"/>
        </w:rPr>
        <w:t xml:space="preserve">Nel tempo, il novero delle competenze che gli Stati hanno attribuito all’Unione, (rinunciando sia pur solo parzialmente ad una porzione di sovranità) si è progressivamente rafforzato. Basti pensare, alla </w:t>
      </w:r>
      <w:r w:rsidR="002D4C9B">
        <w:rPr>
          <w:rFonts w:ascii="Garamond" w:hAnsi="Garamond"/>
          <w:sz w:val="24"/>
          <w:szCs w:val="24"/>
        </w:rPr>
        <w:t>d</w:t>
      </w:r>
      <w:r>
        <w:rPr>
          <w:rFonts w:ascii="Garamond" w:hAnsi="Garamond"/>
          <w:sz w:val="24"/>
          <w:szCs w:val="24"/>
        </w:rPr>
        <w:t xml:space="preserve">ecisione 2013/1313 UE istitutiva del meccanismo </w:t>
      </w:r>
      <w:proofErr w:type="spellStart"/>
      <w:r>
        <w:rPr>
          <w:rFonts w:ascii="Garamond" w:hAnsi="Garamond"/>
          <w:sz w:val="24"/>
          <w:szCs w:val="24"/>
        </w:rPr>
        <w:t>unionale</w:t>
      </w:r>
      <w:proofErr w:type="spellEnd"/>
      <w:r>
        <w:rPr>
          <w:rFonts w:ascii="Garamond" w:hAnsi="Garamond"/>
          <w:sz w:val="24"/>
          <w:szCs w:val="24"/>
        </w:rPr>
        <w:t xml:space="preserve"> di protezione civile</w:t>
      </w:r>
      <w:r>
        <w:rPr>
          <w:rStyle w:val="Rimandonotaapidipagina"/>
          <w:rFonts w:ascii="Garamond" w:hAnsi="Garamond"/>
          <w:sz w:val="24"/>
          <w:szCs w:val="24"/>
        </w:rPr>
        <w:footnoteReference w:id="20"/>
      </w:r>
      <w:r>
        <w:rPr>
          <w:rFonts w:ascii="Garamond" w:hAnsi="Garamond"/>
          <w:sz w:val="24"/>
          <w:szCs w:val="24"/>
        </w:rPr>
        <w:t xml:space="preserve"> che consente all’Unione di prestare soccorso agli Stati membri colpiti da emergenze di vario tipo; oppure ancora alla </w:t>
      </w:r>
      <w:r w:rsidR="002D4C9B">
        <w:rPr>
          <w:rFonts w:ascii="Garamond" w:hAnsi="Garamond"/>
          <w:sz w:val="24"/>
          <w:szCs w:val="24"/>
        </w:rPr>
        <w:t>d</w:t>
      </w:r>
      <w:r>
        <w:rPr>
          <w:rFonts w:ascii="Garamond" w:hAnsi="Garamond"/>
          <w:sz w:val="24"/>
          <w:szCs w:val="24"/>
        </w:rPr>
        <w:t xml:space="preserve">ecisione 2013/1082/UE che riordina il sistema di allarme rapido (SARR) e rafforza la sorveglianza e il controllo in risposta alle </w:t>
      </w:r>
      <w:r w:rsidRPr="00CA0950">
        <w:rPr>
          <w:rFonts w:ascii="Garamond" w:hAnsi="Garamond"/>
          <w:sz w:val="24"/>
          <w:szCs w:val="24"/>
        </w:rPr>
        <w:t xml:space="preserve">gravi minacce </w:t>
      </w:r>
      <w:r w:rsidRPr="00CA0950">
        <w:rPr>
          <w:rFonts w:ascii="Garamond" w:hAnsi="Garamond"/>
          <w:sz w:val="24"/>
          <w:szCs w:val="24"/>
        </w:rPr>
        <w:lastRenderedPageBreak/>
        <w:t>per la salute a carattere transfrontaliero</w:t>
      </w:r>
      <w:r>
        <w:rPr>
          <w:rFonts w:ascii="Garamond" w:hAnsi="Garamond"/>
          <w:sz w:val="24"/>
          <w:szCs w:val="24"/>
        </w:rPr>
        <w:t xml:space="preserve">, sotto la supervisione dell’eminente istituzione dell’ECDC </w:t>
      </w:r>
      <w:r w:rsidRPr="005E61AF">
        <w:rPr>
          <w:rFonts w:ascii="Garamond" w:hAnsi="Garamond"/>
          <w:sz w:val="24"/>
          <w:szCs w:val="24"/>
        </w:rPr>
        <w:t>(Centro europeo per la prevenzione e il controllo delle malattie)</w:t>
      </w:r>
      <w:r>
        <w:rPr>
          <w:rFonts w:ascii="Garamond" w:hAnsi="Garamond"/>
          <w:sz w:val="24"/>
          <w:szCs w:val="24"/>
        </w:rPr>
        <w:t>. L’obiettivo dell’Unione europea – enunciato dai Trattati e dalla Carta dei diritti fondamentali – è</w:t>
      </w:r>
      <w:r w:rsidR="00930159">
        <w:rPr>
          <w:rFonts w:ascii="Garamond" w:hAnsi="Garamond"/>
          <w:sz w:val="24"/>
          <w:szCs w:val="24"/>
        </w:rPr>
        <w:t>, dunque,</w:t>
      </w:r>
      <w:r>
        <w:rPr>
          <w:rFonts w:ascii="Garamond" w:hAnsi="Garamond"/>
          <w:sz w:val="24"/>
          <w:szCs w:val="24"/>
        </w:rPr>
        <w:t xml:space="preserve"> quello di assicurare un </w:t>
      </w:r>
      <w:r w:rsidR="00CA15A1" w:rsidRPr="00CA15A1">
        <w:rPr>
          <w:rFonts w:ascii="Garamond" w:hAnsi="Garamond"/>
          <w:sz w:val="24"/>
          <w:szCs w:val="24"/>
        </w:rPr>
        <w:t>«</w:t>
      </w:r>
      <w:r w:rsidRPr="00156101">
        <w:rPr>
          <w:rFonts w:ascii="Garamond" w:hAnsi="Garamond"/>
          <w:sz w:val="24"/>
          <w:szCs w:val="24"/>
        </w:rPr>
        <w:t>livello elevato di protezione della salute umana</w:t>
      </w:r>
      <w:r w:rsidR="00CA15A1" w:rsidRPr="00CA15A1">
        <w:rPr>
          <w:rFonts w:ascii="Garamond" w:hAnsi="Garamond"/>
          <w:sz w:val="24"/>
          <w:szCs w:val="24"/>
        </w:rPr>
        <w:t>»</w:t>
      </w:r>
      <w:r>
        <w:rPr>
          <w:rStyle w:val="Rimandonotaapidipagina"/>
          <w:rFonts w:ascii="Garamond" w:hAnsi="Garamond"/>
          <w:sz w:val="24"/>
          <w:szCs w:val="24"/>
        </w:rPr>
        <w:footnoteReference w:id="21"/>
      </w:r>
      <w:r>
        <w:rPr>
          <w:rFonts w:ascii="Garamond" w:hAnsi="Garamond"/>
          <w:sz w:val="24"/>
          <w:szCs w:val="24"/>
        </w:rPr>
        <w:t xml:space="preserve"> attraverso azioni e misure coordinate e comuni a tutti gli Stati.</w:t>
      </w:r>
    </w:p>
    <w:p w14:paraId="22DDDC07" w14:textId="61237CBA" w:rsidR="0061721E" w:rsidRPr="00697A9A" w:rsidRDefault="00970264" w:rsidP="00697A9A">
      <w:pPr>
        <w:spacing w:after="0" w:line="240" w:lineRule="auto"/>
        <w:ind w:firstLine="567"/>
        <w:jc w:val="both"/>
        <w:rPr>
          <w:rFonts w:ascii="Garamond" w:hAnsi="Garamond"/>
          <w:i/>
          <w:iCs/>
          <w:sz w:val="24"/>
          <w:szCs w:val="24"/>
        </w:rPr>
      </w:pPr>
      <w:r>
        <w:rPr>
          <w:rFonts w:ascii="Garamond" w:hAnsi="Garamond"/>
          <w:sz w:val="24"/>
          <w:szCs w:val="24"/>
        </w:rPr>
        <w:t xml:space="preserve"> </w:t>
      </w:r>
      <w:r w:rsidR="00656A51">
        <w:rPr>
          <w:rFonts w:ascii="Garamond" w:hAnsi="Garamond"/>
          <w:sz w:val="24"/>
          <w:szCs w:val="24"/>
        </w:rPr>
        <w:t xml:space="preserve">Proprio il </w:t>
      </w:r>
      <w:r w:rsidR="00656A51" w:rsidRPr="007B30D0">
        <w:rPr>
          <w:rFonts w:ascii="Garamond" w:hAnsi="Garamond"/>
          <w:i/>
          <w:sz w:val="24"/>
          <w:szCs w:val="24"/>
        </w:rPr>
        <w:t>green pass</w:t>
      </w:r>
      <w:r w:rsidR="00656A51">
        <w:rPr>
          <w:rFonts w:ascii="Garamond" w:hAnsi="Garamond"/>
          <w:sz w:val="24"/>
          <w:szCs w:val="24"/>
        </w:rPr>
        <w:t xml:space="preserve"> può, infatti, ben annoverarsi tra quegli strumenti di cui l’Unione, si serve, nell’esercizio della sua competenza concorrente nel quadro dei </w:t>
      </w:r>
      <w:r w:rsidR="00977B78" w:rsidRPr="00156101">
        <w:rPr>
          <w:rFonts w:ascii="Garamond" w:hAnsi="Garamond"/>
          <w:i/>
          <w:sz w:val="24"/>
          <w:szCs w:val="24"/>
        </w:rPr>
        <w:t>«</w:t>
      </w:r>
      <w:r w:rsidR="00656A51" w:rsidRPr="002D4C9B">
        <w:rPr>
          <w:rFonts w:ascii="Garamond" w:hAnsi="Garamond"/>
          <w:i/>
          <w:sz w:val="24"/>
          <w:szCs w:val="24"/>
        </w:rPr>
        <w:t>problemi comuni di sicurezza in materia di sanità pubblica</w:t>
      </w:r>
      <w:r w:rsidR="00977B78" w:rsidRPr="00977B78">
        <w:rPr>
          <w:rFonts w:ascii="Garamond" w:hAnsi="Garamond"/>
          <w:sz w:val="24"/>
          <w:szCs w:val="24"/>
        </w:rPr>
        <w:t>»</w:t>
      </w:r>
      <w:r w:rsidR="00656A51">
        <w:rPr>
          <w:rStyle w:val="Rimandonotaapidipagina"/>
          <w:rFonts w:ascii="Garamond" w:hAnsi="Garamond"/>
          <w:sz w:val="24"/>
          <w:szCs w:val="24"/>
        </w:rPr>
        <w:footnoteReference w:id="22"/>
      </w:r>
      <w:r w:rsidR="00656A51">
        <w:rPr>
          <w:rFonts w:ascii="Garamond" w:hAnsi="Garamond"/>
          <w:sz w:val="24"/>
          <w:szCs w:val="24"/>
        </w:rPr>
        <w:t xml:space="preserve">, per </w:t>
      </w:r>
      <w:r w:rsidR="00977B78" w:rsidRPr="00977B78">
        <w:rPr>
          <w:rFonts w:ascii="Garamond" w:hAnsi="Garamond"/>
          <w:sz w:val="24"/>
          <w:szCs w:val="24"/>
        </w:rPr>
        <w:t>«</w:t>
      </w:r>
      <w:r w:rsidR="00656A51" w:rsidRPr="00156101">
        <w:rPr>
          <w:rFonts w:ascii="Garamond" w:hAnsi="Garamond"/>
          <w:sz w:val="24"/>
          <w:szCs w:val="24"/>
        </w:rPr>
        <w:t>proteggere e migliorare la salute umana, in particolare per lottare contro i grandi flagelli che si propagano oltre frontiera</w:t>
      </w:r>
      <w:r w:rsidR="00656A51" w:rsidRPr="000D4CD9">
        <w:rPr>
          <w:rFonts w:ascii="Garamond" w:hAnsi="Garamond"/>
          <w:i/>
          <w:sz w:val="24"/>
          <w:szCs w:val="24"/>
        </w:rPr>
        <w:t xml:space="preserve">, </w:t>
      </w:r>
      <w:r w:rsidR="00656A51">
        <w:rPr>
          <w:rFonts w:ascii="Garamond" w:hAnsi="Garamond"/>
          <w:sz w:val="24"/>
          <w:szCs w:val="24"/>
        </w:rPr>
        <w:t xml:space="preserve">[al fine di incrementare] </w:t>
      </w:r>
      <w:r w:rsidR="00656A51" w:rsidRPr="00970264">
        <w:rPr>
          <w:rFonts w:ascii="Garamond" w:hAnsi="Garamond"/>
          <w:i/>
          <w:sz w:val="24"/>
          <w:szCs w:val="24"/>
        </w:rPr>
        <w:t>la sorveglianza, l</w:t>
      </w:r>
      <w:r>
        <w:rPr>
          <w:rFonts w:ascii="Garamond" w:hAnsi="Garamond"/>
          <w:i/>
          <w:sz w:val="24"/>
          <w:szCs w:val="24"/>
        </w:rPr>
        <w:t>’</w:t>
      </w:r>
      <w:r w:rsidR="00656A51" w:rsidRPr="00970264">
        <w:rPr>
          <w:rFonts w:ascii="Garamond" w:hAnsi="Garamond"/>
          <w:i/>
          <w:sz w:val="24"/>
          <w:szCs w:val="24"/>
        </w:rPr>
        <w:t xml:space="preserve">allarme e la lotta contro gravi minacce per la salute a carattere transfrontaliero </w:t>
      </w:r>
      <w:r w:rsidR="00656A51">
        <w:rPr>
          <w:rFonts w:ascii="Garamond" w:hAnsi="Garamond"/>
          <w:sz w:val="24"/>
          <w:szCs w:val="24"/>
        </w:rPr>
        <w:t>(…)</w:t>
      </w:r>
      <w:r w:rsidR="00977B78" w:rsidRPr="00977B78">
        <w:rPr>
          <w:rFonts w:ascii="Garamond" w:hAnsi="Garamond"/>
          <w:sz w:val="24"/>
          <w:szCs w:val="24"/>
        </w:rPr>
        <w:t>»</w:t>
      </w:r>
      <w:r w:rsidR="00656A51">
        <w:rPr>
          <w:rStyle w:val="Rimandonotaapidipagina"/>
          <w:rFonts w:ascii="Garamond" w:hAnsi="Garamond"/>
          <w:sz w:val="24"/>
          <w:szCs w:val="24"/>
        </w:rPr>
        <w:footnoteReference w:id="23"/>
      </w:r>
      <w:r w:rsidR="00656A51">
        <w:rPr>
          <w:rFonts w:ascii="Garamond" w:hAnsi="Garamond"/>
          <w:sz w:val="24"/>
          <w:szCs w:val="24"/>
        </w:rPr>
        <w:t xml:space="preserve">, ai sensi dell’art. 168 comma 1, del Trattato sul funzionamento dell’Unione europea. Ciò vale a dimostrare che una materia tradizionalmente di dominio riservato, quale la salute, assuma sempre più rilevanza non soltanto nazionale, quanto (e soprattutto) sovranazionale (se non addirittura divenire tematica di </w:t>
      </w:r>
      <w:r w:rsidR="00656A51" w:rsidRPr="0079229A">
        <w:rPr>
          <w:rFonts w:ascii="Garamond" w:hAnsi="Garamond"/>
          <w:i/>
          <w:sz w:val="24"/>
          <w:szCs w:val="24"/>
        </w:rPr>
        <w:t xml:space="preserve">global </w:t>
      </w:r>
      <w:proofErr w:type="spellStart"/>
      <w:r w:rsidR="00656A51" w:rsidRPr="0079229A">
        <w:rPr>
          <w:rFonts w:ascii="Garamond" w:hAnsi="Garamond"/>
          <w:i/>
          <w:sz w:val="24"/>
          <w:szCs w:val="24"/>
        </w:rPr>
        <w:t>concern</w:t>
      </w:r>
      <w:proofErr w:type="spellEnd"/>
      <w:r w:rsidR="00656A51">
        <w:rPr>
          <w:rFonts w:ascii="Garamond" w:hAnsi="Garamond"/>
          <w:sz w:val="24"/>
          <w:szCs w:val="24"/>
        </w:rPr>
        <w:t xml:space="preserve">). Sembra dunque incontrovertibile la sussistenza in capo alle istituzioni dell’UE del potere di adottare </w:t>
      </w:r>
      <w:r w:rsidR="00D53C9D" w:rsidRPr="00D53C9D">
        <w:rPr>
          <w:rFonts w:ascii="Garamond" w:hAnsi="Garamond"/>
          <w:sz w:val="24"/>
          <w:szCs w:val="24"/>
        </w:rPr>
        <w:t>«</w:t>
      </w:r>
      <w:r w:rsidR="00656A51" w:rsidRPr="00156101">
        <w:rPr>
          <w:rFonts w:ascii="Garamond" w:hAnsi="Garamond"/>
          <w:sz w:val="24"/>
          <w:szCs w:val="24"/>
        </w:rPr>
        <w:t>misure il cui obiettivo diretto sia la protezione della sanità pubblica</w:t>
      </w:r>
      <w:r w:rsidR="00D53C9D" w:rsidRPr="00D53C9D">
        <w:rPr>
          <w:rFonts w:ascii="Garamond" w:hAnsi="Garamond"/>
          <w:sz w:val="24"/>
          <w:szCs w:val="24"/>
        </w:rPr>
        <w:t>»</w:t>
      </w:r>
      <w:r w:rsidR="00656A51">
        <w:rPr>
          <w:rStyle w:val="Rimandonotaapidipagina"/>
          <w:rFonts w:ascii="Garamond" w:hAnsi="Garamond"/>
          <w:sz w:val="24"/>
          <w:szCs w:val="24"/>
        </w:rPr>
        <w:footnoteReference w:id="24"/>
      </w:r>
      <w:r w:rsidR="00BF3C18">
        <w:rPr>
          <w:rFonts w:ascii="Garamond" w:hAnsi="Garamond"/>
          <w:sz w:val="24"/>
          <w:szCs w:val="24"/>
        </w:rPr>
        <w:t xml:space="preserve"> </w:t>
      </w:r>
      <w:r w:rsidR="00656A51">
        <w:rPr>
          <w:rFonts w:ascii="Garamond" w:hAnsi="Garamond"/>
          <w:sz w:val="24"/>
          <w:szCs w:val="24"/>
        </w:rPr>
        <w:t>in risposta ad un’emergenza sanitaria, per via del suo carattere puramente eccezionale e delle sue dimensioni globali. Così come è stata largamente sostenuta da diversi Stati membri</w:t>
      </w:r>
      <w:r w:rsidR="00656A51">
        <w:rPr>
          <w:rStyle w:val="Rimandonotaapidipagina"/>
          <w:rFonts w:ascii="Garamond" w:hAnsi="Garamond"/>
          <w:sz w:val="24"/>
          <w:szCs w:val="24"/>
        </w:rPr>
        <w:footnoteReference w:id="25"/>
      </w:r>
      <w:r w:rsidR="00656A51">
        <w:rPr>
          <w:rFonts w:ascii="Garamond" w:hAnsi="Garamond"/>
          <w:sz w:val="24"/>
          <w:szCs w:val="24"/>
        </w:rPr>
        <w:t xml:space="preserve"> l’esigenza del legislatore europeo di derogare ad alcuni diritti e libertà fondamentali in nome della tutela della salute pubblica. </w:t>
      </w:r>
      <w:r w:rsidR="00656A51">
        <w:rPr>
          <w:rFonts w:ascii="Garamond" w:hAnsi="Garamond"/>
          <w:sz w:val="24"/>
          <w:szCs w:val="24"/>
        </w:rPr>
        <w:tab/>
      </w:r>
      <w:r w:rsidR="00656A51">
        <w:rPr>
          <w:rFonts w:ascii="Garamond" w:hAnsi="Garamond"/>
          <w:sz w:val="24"/>
          <w:szCs w:val="24"/>
        </w:rPr>
        <w:tab/>
      </w:r>
      <w:r w:rsidR="00656A51">
        <w:rPr>
          <w:rFonts w:ascii="Garamond" w:hAnsi="Garamond"/>
          <w:sz w:val="24"/>
          <w:szCs w:val="24"/>
        </w:rPr>
        <w:tab/>
      </w:r>
    </w:p>
    <w:p w14:paraId="0BFA3A06" w14:textId="77777777" w:rsidR="00970264" w:rsidRDefault="00656A51" w:rsidP="0061721E">
      <w:pPr>
        <w:spacing w:after="0" w:line="240" w:lineRule="auto"/>
        <w:ind w:firstLine="567"/>
        <w:jc w:val="both"/>
        <w:rPr>
          <w:rFonts w:ascii="Garamond" w:hAnsi="Garamond"/>
          <w:sz w:val="24"/>
          <w:szCs w:val="24"/>
        </w:rPr>
      </w:pPr>
      <w:r w:rsidRPr="0079229A">
        <w:rPr>
          <w:rFonts w:ascii="Garamond" w:hAnsi="Garamond"/>
          <w:sz w:val="24"/>
          <w:szCs w:val="24"/>
        </w:rPr>
        <w:t>Se questo è vero, il fondamento della legittimità della base giuridica europea</w:t>
      </w:r>
      <w:r>
        <w:rPr>
          <w:rFonts w:ascii="Garamond" w:hAnsi="Garamond"/>
          <w:sz w:val="24"/>
          <w:szCs w:val="24"/>
        </w:rPr>
        <w:t xml:space="preserve"> sul </w:t>
      </w:r>
      <w:r w:rsidRPr="00466C81">
        <w:rPr>
          <w:rFonts w:ascii="Garamond" w:hAnsi="Garamond"/>
          <w:i/>
          <w:sz w:val="24"/>
          <w:szCs w:val="24"/>
        </w:rPr>
        <w:t>green pass</w:t>
      </w:r>
      <w:r w:rsidRPr="0079229A">
        <w:rPr>
          <w:rFonts w:ascii="Garamond" w:hAnsi="Garamond"/>
          <w:sz w:val="24"/>
          <w:szCs w:val="24"/>
        </w:rPr>
        <w:t xml:space="preserve"> (come ha rilevato anche la dottrina</w:t>
      </w:r>
      <w:r w:rsidRPr="0079229A">
        <w:rPr>
          <w:rFonts w:ascii="Garamond" w:hAnsi="Garamond"/>
          <w:sz w:val="24"/>
          <w:szCs w:val="24"/>
          <w:vertAlign w:val="superscript"/>
        </w:rPr>
        <w:footnoteReference w:id="26"/>
      </w:r>
      <w:r w:rsidRPr="0079229A">
        <w:rPr>
          <w:rFonts w:ascii="Garamond" w:hAnsi="Garamond"/>
          <w:sz w:val="24"/>
          <w:szCs w:val="24"/>
        </w:rPr>
        <w:t>) è sorretto anche dall’elemento</w:t>
      </w:r>
      <w:r>
        <w:rPr>
          <w:rFonts w:ascii="Garamond" w:hAnsi="Garamond"/>
          <w:sz w:val="24"/>
          <w:szCs w:val="24"/>
        </w:rPr>
        <w:t xml:space="preserve"> </w:t>
      </w:r>
      <w:r w:rsidR="00E1458B" w:rsidRPr="00E1458B">
        <w:rPr>
          <w:rFonts w:ascii="Garamond" w:hAnsi="Garamond"/>
          <w:sz w:val="24"/>
          <w:szCs w:val="24"/>
        </w:rPr>
        <w:t>«</w:t>
      </w:r>
      <w:r w:rsidRPr="00156101">
        <w:rPr>
          <w:rFonts w:ascii="Garamond" w:hAnsi="Garamond"/>
          <w:sz w:val="24"/>
          <w:szCs w:val="24"/>
        </w:rPr>
        <w:t>dell'urgenza determinata dalla pandemia di COVID-19</w:t>
      </w:r>
      <w:r w:rsidR="00E1458B" w:rsidRPr="00E1458B">
        <w:rPr>
          <w:rFonts w:ascii="Garamond" w:hAnsi="Garamond"/>
          <w:sz w:val="24"/>
          <w:szCs w:val="24"/>
        </w:rPr>
        <w:t>»</w:t>
      </w:r>
      <w:r>
        <w:rPr>
          <w:rStyle w:val="Rimandonotaapidipagina"/>
          <w:rFonts w:ascii="Garamond" w:hAnsi="Garamond"/>
          <w:sz w:val="24"/>
          <w:szCs w:val="24"/>
        </w:rPr>
        <w:footnoteReference w:id="27"/>
      </w:r>
      <w:r>
        <w:rPr>
          <w:rFonts w:ascii="Garamond" w:hAnsi="Garamond"/>
          <w:sz w:val="24"/>
          <w:szCs w:val="24"/>
        </w:rPr>
        <w:t xml:space="preserve"> </w:t>
      </w:r>
      <w:r w:rsidRPr="0079229A">
        <w:rPr>
          <w:rFonts w:ascii="Garamond" w:hAnsi="Garamond"/>
          <w:sz w:val="24"/>
          <w:szCs w:val="24"/>
        </w:rPr>
        <w:t>(necessariamente ancorata alla relativa evoluzione del quadro dei contagi mondia</w:t>
      </w:r>
      <w:r>
        <w:rPr>
          <w:rFonts w:ascii="Garamond" w:hAnsi="Garamond"/>
          <w:sz w:val="24"/>
          <w:szCs w:val="24"/>
        </w:rPr>
        <w:t>le</w:t>
      </w:r>
      <w:r w:rsidRPr="0079229A">
        <w:rPr>
          <w:rFonts w:ascii="Garamond" w:hAnsi="Garamond"/>
          <w:sz w:val="24"/>
          <w:szCs w:val="24"/>
        </w:rPr>
        <w:t xml:space="preserve">), che ha portato il legislatore europeo all’adozione di misure senza precedenti, ben più incisive rispetto allo stesso certificato verde digitale, come, ad esempio, dimostrano le restrizioni ai viaggi non essenziali verso l’UE (nella fase più acuta della pandemia) </w:t>
      </w:r>
      <w:r>
        <w:rPr>
          <w:rFonts w:ascii="Garamond" w:hAnsi="Garamond"/>
          <w:sz w:val="24"/>
          <w:szCs w:val="24"/>
        </w:rPr>
        <w:t>messe a punto</w:t>
      </w:r>
      <w:r w:rsidRPr="0079229A">
        <w:rPr>
          <w:rFonts w:ascii="Garamond" w:hAnsi="Garamond"/>
          <w:sz w:val="24"/>
          <w:szCs w:val="24"/>
        </w:rPr>
        <w:t xml:space="preserve"> attraverso la sospensione dell’accordo di Schengen, per un periodo di trenta giorni</w:t>
      </w:r>
      <w:r w:rsidRPr="0079229A">
        <w:rPr>
          <w:rFonts w:ascii="Garamond" w:hAnsi="Garamond"/>
          <w:sz w:val="24"/>
          <w:szCs w:val="24"/>
          <w:vertAlign w:val="superscript"/>
        </w:rPr>
        <w:footnoteReference w:id="28"/>
      </w:r>
      <w:r w:rsidRPr="0079229A">
        <w:rPr>
          <w:rFonts w:ascii="Garamond" w:hAnsi="Garamond"/>
          <w:sz w:val="24"/>
          <w:szCs w:val="24"/>
        </w:rPr>
        <w:t xml:space="preserve">. </w:t>
      </w:r>
      <w:r>
        <w:rPr>
          <w:rFonts w:ascii="Garamond" w:hAnsi="Garamond"/>
          <w:sz w:val="24"/>
          <w:szCs w:val="24"/>
        </w:rPr>
        <w:t xml:space="preserve">Non si possono dunque accogliere quelle tesi </w:t>
      </w:r>
      <w:r w:rsidR="00E1458B">
        <w:rPr>
          <w:rFonts w:ascii="Garamond" w:hAnsi="Garamond"/>
          <w:sz w:val="24"/>
          <w:szCs w:val="24"/>
        </w:rPr>
        <w:lastRenderedPageBreak/>
        <w:t>“</w:t>
      </w:r>
      <w:r>
        <w:rPr>
          <w:rFonts w:ascii="Garamond" w:hAnsi="Garamond"/>
          <w:sz w:val="24"/>
          <w:szCs w:val="24"/>
        </w:rPr>
        <w:t>negazioniste</w:t>
      </w:r>
      <w:r w:rsidR="00E1458B">
        <w:rPr>
          <w:rFonts w:ascii="Garamond" w:hAnsi="Garamond"/>
          <w:sz w:val="24"/>
          <w:szCs w:val="24"/>
        </w:rPr>
        <w:t>”</w:t>
      </w:r>
      <w:r>
        <w:rPr>
          <w:rStyle w:val="Rimandonotaapidipagina"/>
          <w:rFonts w:ascii="Garamond" w:hAnsi="Garamond"/>
          <w:sz w:val="24"/>
          <w:szCs w:val="24"/>
        </w:rPr>
        <w:footnoteReference w:id="29"/>
      </w:r>
      <w:r>
        <w:rPr>
          <w:rFonts w:ascii="Garamond" w:hAnsi="Garamond"/>
          <w:sz w:val="24"/>
          <w:szCs w:val="24"/>
        </w:rPr>
        <w:t>, che insistono categoricamente sulla disapplicazione</w:t>
      </w:r>
      <w:r>
        <w:rPr>
          <w:rStyle w:val="Rimandonotaapidipagina"/>
          <w:rFonts w:ascii="Garamond" w:hAnsi="Garamond"/>
          <w:sz w:val="24"/>
          <w:szCs w:val="24"/>
        </w:rPr>
        <w:footnoteReference w:id="30"/>
      </w:r>
      <w:r>
        <w:rPr>
          <w:rFonts w:ascii="Garamond" w:hAnsi="Garamond"/>
          <w:sz w:val="24"/>
          <w:szCs w:val="24"/>
        </w:rPr>
        <w:t xml:space="preserve"> di tale strumento comunitario in ragione della sua natura palesemente discriminatoria delle libertà fondamentali dei cittadini europei, paragonandolo addirittura all’</w:t>
      </w:r>
      <w:r w:rsidRPr="00E1458B">
        <w:rPr>
          <w:rFonts w:ascii="Garamond" w:hAnsi="Garamond"/>
          <w:i/>
          <w:sz w:val="24"/>
          <w:szCs w:val="24"/>
        </w:rPr>
        <w:t>apartheid</w:t>
      </w:r>
      <w:r>
        <w:rPr>
          <w:rFonts w:ascii="Garamond" w:hAnsi="Garamond"/>
          <w:sz w:val="24"/>
          <w:szCs w:val="24"/>
        </w:rPr>
        <w:t xml:space="preserve">. </w:t>
      </w:r>
    </w:p>
    <w:p w14:paraId="26F9285D" w14:textId="3F8E3BBF" w:rsidR="00970264" w:rsidRDefault="00D21C2B" w:rsidP="00970264">
      <w:pPr>
        <w:spacing w:after="0" w:line="240" w:lineRule="auto"/>
        <w:ind w:firstLine="567"/>
        <w:jc w:val="both"/>
        <w:rPr>
          <w:rFonts w:ascii="Garamond" w:hAnsi="Garamond"/>
          <w:sz w:val="24"/>
          <w:szCs w:val="24"/>
        </w:rPr>
      </w:pPr>
      <w:r>
        <w:rPr>
          <w:rFonts w:ascii="Garamond" w:hAnsi="Garamond"/>
          <w:sz w:val="24"/>
          <w:szCs w:val="24"/>
        </w:rPr>
        <w:t>N</w:t>
      </w:r>
      <w:r w:rsidR="00656A51">
        <w:rPr>
          <w:rFonts w:ascii="Garamond" w:hAnsi="Garamond"/>
          <w:sz w:val="24"/>
          <w:szCs w:val="24"/>
        </w:rPr>
        <w:t xml:space="preserve">ell’esaminare la recente misura del c.d. </w:t>
      </w:r>
      <w:r w:rsidR="00656A51" w:rsidRPr="0079229A">
        <w:rPr>
          <w:rFonts w:ascii="Garamond" w:hAnsi="Garamond"/>
          <w:i/>
          <w:sz w:val="24"/>
          <w:szCs w:val="24"/>
        </w:rPr>
        <w:t>green pass</w:t>
      </w:r>
      <w:r w:rsidR="00656A51">
        <w:rPr>
          <w:rFonts w:ascii="Garamond" w:hAnsi="Garamond"/>
          <w:sz w:val="24"/>
          <w:szCs w:val="24"/>
        </w:rPr>
        <w:t xml:space="preserve"> - volto ad agevolare gli spostamenti per coloro che ne siano in possesso (nell’ottica di un totale ripristino della libertà di circolazione per questi ultimi); inizialmente confinato ai soli viaggi internazionali e applicabile in tutti i Paesi membri dell’Unione per effetto del </w:t>
      </w:r>
      <w:r w:rsidR="002D4C9B">
        <w:rPr>
          <w:rFonts w:ascii="Garamond" w:hAnsi="Garamond"/>
          <w:sz w:val="24"/>
          <w:szCs w:val="24"/>
        </w:rPr>
        <w:t>r</w:t>
      </w:r>
      <w:r w:rsidR="00656A51">
        <w:rPr>
          <w:rFonts w:ascii="Garamond" w:hAnsi="Garamond"/>
          <w:sz w:val="24"/>
          <w:szCs w:val="24"/>
        </w:rPr>
        <w:t xml:space="preserve">egolamento (UE) 2021/953 – parte della dottrina ha posto alcune perplessità, concernenti tanto la </w:t>
      </w:r>
      <w:r w:rsidR="00656A51" w:rsidRPr="0079229A">
        <w:rPr>
          <w:rFonts w:ascii="Garamond" w:hAnsi="Garamond"/>
          <w:i/>
          <w:sz w:val="24"/>
          <w:szCs w:val="24"/>
        </w:rPr>
        <w:t>ratio</w:t>
      </w:r>
      <w:r w:rsidR="00656A51">
        <w:rPr>
          <w:rFonts w:ascii="Garamond" w:hAnsi="Garamond"/>
          <w:sz w:val="24"/>
          <w:szCs w:val="24"/>
        </w:rPr>
        <w:t xml:space="preserve"> della misura quanto la sua eccessiva incidenza su diritti e libertà fondamentali.</w:t>
      </w:r>
    </w:p>
    <w:p w14:paraId="3AE6AA94" w14:textId="77777777" w:rsidR="00970264" w:rsidRDefault="00656A51" w:rsidP="0061721E">
      <w:pPr>
        <w:spacing w:after="0" w:line="240" w:lineRule="auto"/>
        <w:ind w:firstLine="567"/>
        <w:jc w:val="both"/>
        <w:rPr>
          <w:rFonts w:ascii="Garamond" w:hAnsi="Garamond"/>
          <w:sz w:val="24"/>
          <w:szCs w:val="24"/>
        </w:rPr>
      </w:pPr>
      <w:r>
        <w:rPr>
          <w:rFonts w:ascii="Garamond" w:hAnsi="Garamond"/>
          <w:sz w:val="24"/>
          <w:szCs w:val="24"/>
        </w:rPr>
        <w:t>La normativa prevede alcuni principi e regole di base vincolanti e direttamente applicabili in tutti gli Stati membri</w:t>
      </w:r>
      <w:r w:rsidR="00970264">
        <w:rPr>
          <w:rFonts w:ascii="Garamond" w:hAnsi="Garamond"/>
          <w:sz w:val="24"/>
          <w:szCs w:val="24"/>
        </w:rPr>
        <w:t>.</w:t>
      </w:r>
    </w:p>
    <w:p w14:paraId="4DEC01FC" w14:textId="7214FD15" w:rsidR="00970264" w:rsidRDefault="00656A51" w:rsidP="0061721E">
      <w:pPr>
        <w:spacing w:after="0" w:line="240" w:lineRule="auto"/>
        <w:ind w:firstLine="567"/>
        <w:jc w:val="both"/>
        <w:rPr>
          <w:rFonts w:ascii="Garamond" w:hAnsi="Garamond"/>
          <w:sz w:val="24"/>
          <w:szCs w:val="24"/>
        </w:rPr>
      </w:pPr>
      <w:r>
        <w:rPr>
          <w:rFonts w:ascii="Garamond" w:hAnsi="Garamond"/>
          <w:sz w:val="24"/>
          <w:szCs w:val="24"/>
        </w:rPr>
        <w:t>Come emerge dal testo, la necessità</w:t>
      </w:r>
      <w:r>
        <w:rPr>
          <w:rStyle w:val="Rimandonotaapidipagina"/>
          <w:rFonts w:ascii="Garamond" w:hAnsi="Garamond"/>
          <w:sz w:val="24"/>
          <w:szCs w:val="24"/>
        </w:rPr>
        <w:footnoteReference w:id="31"/>
      </w:r>
      <w:r>
        <w:rPr>
          <w:rFonts w:ascii="Garamond" w:hAnsi="Garamond"/>
          <w:sz w:val="24"/>
          <w:szCs w:val="24"/>
        </w:rPr>
        <w:t xml:space="preserve"> delle istituzioni europee di prevedere l’uso di un certificato verde interoperabile in tutto il territorio degli Stati membri, si rinviene nel fatto che, quando l’obiettivo generale di tutelare la salute pubblica (</w:t>
      </w:r>
      <w:r w:rsidRPr="00F3112B">
        <w:rPr>
          <w:rFonts w:ascii="Garamond" w:hAnsi="Garamond"/>
          <w:i/>
          <w:sz w:val="24"/>
          <w:szCs w:val="24"/>
        </w:rPr>
        <w:t>a fortiori</w:t>
      </w:r>
      <w:r>
        <w:rPr>
          <w:rFonts w:ascii="Garamond" w:hAnsi="Garamond"/>
          <w:sz w:val="24"/>
          <w:szCs w:val="24"/>
        </w:rPr>
        <w:t xml:space="preserve"> in contesti epidemici, che richiedono misure coordinate e comuni)</w:t>
      </w:r>
      <w:r w:rsidRPr="00AF2250">
        <w:rPr>
          <w:rFonts w:ascii="Garamond" w:hAnsi="Garamond"/>
          <w:sz w:val="24"/>
          <w:szCs w:val="24"/>
        </w:rPr>
        <w:t xml:space="preserve"> </w:t>
      </w:r>
      <w:r w:rsidR="00097FBE" w:rsidRPr="00097FBE">
        <w:rPr>
          <w:rFonts w:ascii="Garamond" w:hAnsi="Garamond"/>
          <w:sz w:val="24"/>
          <w:szCs w:val="24"/>
        </w:rPr>
        <w:t>«</w:t>
      </w:r>
      <w:r w:rsidRPr="00156101">
        <w:rPr>
          <w:rFonts w:ascii="Garamond" w:hAnsi="Garamond"/>
          <w:sz w:val="24"/>
          <w:szCs w:val="24"/>
        </w:rPr>
        <w:t>non può essere conseguito in misura sufficiente dagli Stati membri ma, a motivo della portata e degli effetti dell'azione in questione, può essere conseguito meglio a livello di Unione, quest'ultima può intervenire in base al principio di sussidiarietà sancito dall'articolo 5 del trattato sull'Unione europea</w:t>
      </w:r>
      <w:r w:rsidR="00097FBE" w:rsidRPr="00097FBE">
        <w:rPr>
          <w:rFonts w:ascii="Garamond" w:hAnsi="Garamond"/>
          <w:sz w:val="24"/>
          <w:szCs w:val="24"/>
        </w:rPr>
        <w:t>»</w:t>
      </w:r>
      <w:r>
        <w:rPr>
          <w:rStyle w:val="Rimandonotaapidipagina"/>
          <w:rFonts w:ascii="Garamond" w:hAnsi="Garamond"/>
          <w:sz w:val="24"/>
          <w:szCs w:val="24"/>
        </w:rPr>
        <w:footnoteReference w:id="32"/>
      </w:r>
      <w:r>
        <w:rPr>
          <w:rFonts w:ascii="Garamond" w:hAnsi="Garamond"/>
          <w:sz w:val="24"/>
          <w:szCs w:val="24"/>
        </w:rPr>
        <w:t xml:space="preserve"> </w:t>
      </w:r>
      <w:r w:rsidRPr="00AF2250">
        <w:rPr>
          <w:rFonts w:ascii="Garamond" w:hAnsi="Garamond"/>
          <w:sz w:val="24"/>
          <w:szCs w:val="24"/>
        </w:rPr>
        <w:t>.</w:t>
      </w:r>
    </w:p>
    <w:p w14:paraId="615BADF6" w14:textId="25EC1FD2" w:rsidR="008878AE" w:rsidRDefault="00656A51" w:rsidP="0061721E">
      <w:pPr>
        <w:spacing w:after="0" w:line="240" w:lineRule="auto"/>
        <w:ind w:firstLine="567"/>
        <w:jc w:val="both"/>
        <w:rPr>
          <w:rFonts w:ascii="Garamond" w:hAnsi="Garamond"/>
          <w:sz w:val="24"/>
          <w:szCs w:val="24"/>
        </w:rPr>
      </w:pPr>
      <w:r>
        <w:rPr>
          <w:rFonts w:ascii="Garamond" w:hAnsi="Garamond"/>
          <w:sz w:val="24"/>
          <w:szCs w:val="24"/>
        </w:rPr>
        <w:t xml:space="preserve">Può, inoltre, convenirsi sul fatto che </w:t>
      </w:r>
      <w:r w:rsidR="00097FBE" w:rsidRPr="00097FBE">
        <w:rPr>
          <w:rFonts w:ascii="Garamond" w:hAnsi="Garamond"/>
          <w:sz w:val="24"/>
          <w:szCs w:val="24"/>
        </w:rPr>
        <w:t>«</w:t>
      </w:r>
      <w:r w:rsidRPr="00156101">
        <w:rPr>
          <w:rFonts w:ascii="Garamond" w:hAnsi="Garamond"/>
          <w:sz w:val="24"/>
          <w:szCs w:val="24"/>
        </w:rPr>
        <w:t>l'adozione di misure unilaterali o non coordinate riguardanti i certificati di vaccinazione, test e guarigione in relazione alla COVID-19 potrebbe portare a restrizioni alla libera circolazione incoerenti e frammentarie, causando incertezza per i cittadini dell'Unione nell'esercizio dei loro diritti</w:t>
      </w:r>
      <w:r w:rsidR="00097FBE" w:rsidRPr="00097FBE">
        <w:rPr>
          <w:rFonts w:ascii="Garamond" w:hAnsi="Garamond"/>
          <w:sz w:val="24"/>
          <w:szCs w:val="24"/>
        </w:rPr>
        <w:t>»</w:t>
      </w:r>
      <w:r>
        <w:rPr>
          <w:rStyle w:val="Rimandonotaapidipagina"/>
          <w:rFonts w:ascii="Garamond" w:hAnsi="Garamond"/>
          <w:sz w:val="24"/>
          <w:szCs w:val="24"/>
        </w:rPr>
        <w:footnoteReference w:id="33"/>
      </w:r>
      <w:r w:rsidRPr="00DC55E7">
        <w:rPr>
          <w:rFonts w:ascii="Garamond" w:hAnsi="Garamond"/>
          <w:sz w:val="24"/>
          <w:szCs w:val="24"/>
        </w:rPr>
        <w:t xml:space="preserve">. </w:t>
      </w:r>
      <w:r>
        <w:rPr>
          <w:rFonts w:ascii="Garamond" w:hAnsi="Garamond"/>
          <w:sz w:val="24"/>
          <w:szCs w:val="24"/>
        </w:rPr>
        <w:t xml:space="preserve">Più in particolare, l’obiettivo precipuo che si prefigge il legislatore europeo è quello di </w:t>
      </w:r>
      <w:r w:rsidR="00097FBE" w:rsidRPr="00097FBE">
        <w:rPr>
          <w:rFonts w:ascii="Garamond" w:hAnsi="Garamond"/>
          <w:sz w:val="24"/>
          <w:szCs w:val="24"/>
        </w:rPr>
        <w:t>«</w:t>
      </w:r>
      <w:r w:rsidRPr="00156101">
        <w:rPr>
          <w:rFonts w:ascii="Garamond" w:hAnsi="Garamond"/>
          <w:sz w:val="24"/>
          <w:szCs w:val="24"/>
        </w:rPr>
        <w:t xml:space="preserve">agevolare la libera circolazione </w:t>
      </w:r>
      <w:r w:rsidRPr="002D4C9B">
        <w:rPr>
          <w:rFonts w:ascii="Garamond" w:hAnsi="Garamond"/>
          <w:sz w:val="24"/>
          <w:szCs w:val="24"/>
        </w:rPr>
        <w:t>(…)</w:t>
      </w:r>
      <w:r w:rsidRPr="00156101">
        <w:rPr>
          <w:rFonts w:ascii="Garamond" w:hAnsi="Garamond"/>
          <w:sz w:val="24"/>
          <w:szCs w:val="24"/>
        </w:rPr>
        <w:t xml:space="preserve"> affinché le restrizioni alla libera circolazione attualmente in vigore durante la pandemia di COVID-19 possano essere revocate in modo coordinato sulla base degli ultimi dati scientifici e gli orientamenti messi a disposizione dal comitato per la sicurezza sanitaria istituito dall'articolo 17 della decisione n. 1082/2013/UE del Parlamento europeo e del Consiglio</w:t>
      </w:r>
      <w:r w:rsidR="001B7DA3" w:rsidRPr="00156101">
        <w:rPr>
          <w:rFonts w:ascii="Garamond" w:hAnsi="Garamond"/>
          <w:sz w:val="24"/>
          <w:szCs w:val="24"/>
        </w:rPr>
        <w:t xml:space="preserve"> </w:t>
      </w:r>
      <w:r w:rsidRPr="00156101">
        <w:rPr>
          <w:rFonts w:ascii="Garamond" w:hAnsi="Garamond"/>
          <w:sz w:val="24"/>
          <w:szCs w:val="24"/>
        </w:rPr>
        <w:t>(9), dall'ECDC e dall'Agenzia europea per i medicinali (EMA)</w:t>
      </w:r>
      <w:r w:rsidR="00097FBE" w:rsidRPr="00097FBE">
        <w:rPr>
          <w:rFonts w:ascii="Garamond" w:hAnsi="Garamond"/>
          <w:sz w:val="24"/>
          <w:szCs w:val="24"/>
        </w:rPr>
        <w:t>»</w:t>
      </w:r>
      <w:r w:rsidRPr="00097FBE">
        <w:rPr>
          <w:rStyle w:val="Rimandonotaapidipagina"/>
          <w:rFonts w:ascii="Garamond" w:hAnsi="Garamond"/>
          <w:sz w:val="24"/>
          <w:szCs w:val="24"/>
        </w:rPr>
        <w:footnoteReference w:id="34"/>
      </w:r>
      <w:r w:rsidR="008878AE" w:rsidRPr="00097FBE">
        <w:rPr>
          <w:rFonts w:ascii="Garamond" w:hAnsi="Garamond"/>
          <w:sz w:val="24"/>
          <w:szCs w:val="24"/>
        </w:rPr>
        <w:t xml:space="preserve">. </w:t>
      </w:r>
    </w:p>
    <w:p w14:paraId="4EAC1E79" w14:textId="30EE8015" w:rsidR="0061721E" w:rsidRDefault="00656A51" w:rsidP="0061721E">
      <w:pPr>
        <w:spacing w:after="0" w:line="240" w:lineRule="auto"/>
        <w:ind w:firstLine="567"/>
        <w:jc w:val="both"/>
        <w:rPr>
          <w:rFonts w:ascii="Garamond" w:hAnsi="Garamond"/>
          <w:sz w:val="24"/>
          <w:szCs w:val="24"/>
        </w:rPr>
      </w:pPr>
      <w:r>
        <w:rPr>
          <w:rFonts w:ascii="Garamond" w:hAnsi="Garamond"/>
          <w:sz w:val="24"/>
          <w:szCs w:val="24"/>
        </w:rPr>
        <w:t xml:space="preserve">Com’è noto, tale misura - elaborata </w:t>
      </w:r>
      <w:r w:rsidR="00097FBE" w:rsidRPr="00097FBE">
        <w:rPr>
          <w:rFonts w:ascii="Garamond" w:hAnsi="Garamond"/>
          <w:sz w:val="24"/>
          <w:szCs w:val="24"/>
        </w:rPr>
        <w:t>«</w:t>
      </w:r>
      <w:r w:rsidRPr="00800CF2">
        <w:rPr>
          <w:rFonts w:ascii="Garamond" w:hAnsi="Garamond"/>
          <w:i/>
          <w:sz w:val="24"/>
          <w:szCs w:val="24"/>
        </w:rPr>
        <w:t>anche alla luce delle nuove varianti del virus che destano preoccupazione</w:t>
      </w:r>
      <w:r w:rsidR="00097FBE" w:rsidRPr="00097FBE">
        <w:rPr>
          <w:rFonts w:ascii="Garamond" w:hAnsi="Garamond"/>
          <w:sz w:val="24"/>
          <w:szCs w:val="24"/>
        </w:rPr>
        <w:t>»</w:t>
      </w:r>
      <w:r>
        <w:rPr>
          <w:rStyle w:val="Rimandonotaapidipagina"/>
          <w:rFonts w:ascii="Garamond" w:hAnsi="Garamond"/>
          <w:sz w:val="24"/>
          <w:szCs w:val="24"/>
        </w:rPr>
        <w:footnoteReference w:id="35"/>
      </w:r>
      <w:r>
        <w:rPr>
          <w:rFonts w:ascii="Garamond" w:hAnsi="Garamond"/>
          <w:sz w:val="24"/>
          <w:szCs w:val="24"/>
        </w:rPr>
        <w:t xml:space="preserve"> – mira ad esentare i possessori del certificato (persone vaccinate, guarite o </w:t>
      </w:r>
      <w:r>
        <w:rPr>
          <w:rFonts w:ascii="Garamond" w:hAnsi="Garamond"/>
          <w:sz w:val="24"/>
          <w:szCs w:val="24"/>
        </w:rPr>
        <w:lastRenderedPageBreak/>
        <w:t xml:space="preserve">risultate negative al test del Covid-19) da ulteriori restrizioni nell’ambito dei viaggi all’interno dell’UE, in quanto essi </w:t>
      </w:r>
      <w:r w:rsidR="00097FBE" w:rsidRPr="00097FBE">
        <w:rPr>
          <w:rFonts w:ascii="Garamond" w:hAnsi="Garamond"/>
          <w:sz w:val="24"/>
          <w:szCs w:val="24"/>
        </w:rPr>
        <w:t>«</w:t>
      </w:r>
      <w:r w:rsidRPr="00156101">
        <w:rPr>
          <w:rFonts w:ascii="Garamond" w:hAnsi="Garamond"/>
          <w:sz w:val="24"/>
          <w:szCs w:val="24"/>
        </w:rPr>
        <w:t xml:space="preserve">in base alle evidenze mediche attuali e tuttora in evoluzione </w:t>
      </w:r>
      <w:r w:rsidRPr="002D4C9B">
        <w:rPr>
          <w:rFonts w:ascii="Garamond" w:hAnsi="Garamond"/>
          <w:sz w:val="24"/>
          <w:szCs w:val="24"/>
        </w:rPr>
        <w:t>(…)</w:t>
      </w:r>
      <w:r w:rsidRPr="00156101">
        <w:rPr>
          <w:rFonts w:ascii="Garamond" w:hAnsi="Garamond"/>
          <w:sz w:val="24"/>
          <w:szCs w:val="24"/>
        </w:rPr>
        <w:t xml:space="preserve"> non costituiscono un rischio significativo per la salute pubblica, per esempio perché sono immuni da SARS-CoV-2 e non possono trasmetterlo</w:t>
      </w:r>
      <w:r w:rsidR="00097FBE" w:rsidRPr="00097FBE">
        <w:rPr>
          <w:rFonts w:ascii="Garamond" w:hAnsi="Garamond"/>
          <w:sz w:val="24"/>
          <w:szCs w:val="24"/>
        </w:rPr>
        <w:t>»</w:t>
      </w:r>
      <w:r>
        <w:rPr>
          <w:rStyle w:val="Rimandonotaapidipagina"/>
          <w:rFonts w:ascii="Garamond" w:hAnsi="Garamond"/>
          <w:sz w:val="24"/>
          <w:szCs w:val="24"/>
        </w:rPr>
        <w:footnoteReference w:id="36"/>
      </w:r>
      <w:r w:rsidR="00097FBE">
        <w:rPr>
          <w:rFonts w:ascii="Garamond" w:hAnsi="Garamond"/>
          <w:sz w:val="24"/>
          <w:szCs w:val="24"/>
        </w:rPr>
        <w:t>,</w:t>
      </w:r>
      <w:r w:rsidRPr="00F05097">
        <w:rPr>
          <w:rFonts w:ascii="Garamond" w:hAnsi="Garamond"/>
          <w:sz w:val="24"/>
          <w:szCs w:val="24"/>
        </w:rPr>
        <w:t xml:space="preserve"> </w:t>
      </w:r>
      <w:r>
        <w:rPr>
          <w:rFonts w:ascii="Garamond" w:hAnsi="Garamond"/>
          <w:sz w:val="24"/>
          <w:szCs w:val="24"/>
        </w:rPr>
        <w:t xml:space="preserve">pertanto, la loro libertà </w:t>
      </w:r>
      <w:r w:rsidR="002148BC" w:rsidRPr="002148BC">
        <w:rPr>
          <w:rFonts w:ascii="Garamond" w:hAnsi="Garamond"/>
          <w:sz w:val="24"/>
          <w:szCs w:val="24"/>
        </w:rPr>
        <w:t>«</w:t>
      </w:r>
      <w:r w:rsidRPr="00156101">
        <w:rPr>
          <w:rFonts w:ascii="Garamond" w:hAnsi="Garamond"/>
          <w:sz w:val="24"/>
          <w:szCs w:val="24"/>
        </w:rPr>
        <w:t>non dovrebbe essere soggetta a restrizioni, poiché queste ultime non sarebbero necessarie a conseguire l'obiettivo di tutelare la salute pubblica</w:t>
      </w:r>
      <w:r w:rsidR="00097FBE" w:rsidRPr="00097FBE">
        <w:rPr>
          <w:rFonts w:ascii="Garamond" w:hAnsi="Garamond"/>
          <w:sz w:val="24"/>
          <w:szCs w:val="24"/>
        </w:rPr>
        <w:t>»</w:t>
      </w:r>
      <w:r w:rsidRPr="00097FBE">
        <w:rPr>
          <w:rStyle w:val="Rimandonotaapidipagina"/>
          <w:rFonts w:ascii="Garamond" w:hAnsi="Garamond"/>
          <w:sz w:val="24"/>
          <w:szCs w:val="24"/>
        </w:rPr>
        <w:footnoteReference w:id="37"/>
      </w:r>
      <w:r w:rsidRPr="00097FBE">
        <w:rPr>
          <w:rFonts w:ascii="Garamond" w:hAnsi="Garamond"/>
          <w:sz w:val="24"/>
          <w:szCs w:val="24"/>
        </w:rPr>
        <w:t>.</w:t>
      </w:r>
      <w:r w:rsidRPr="008553EA">
        <w:rPr>
          <w:rFonts w:ascii="Garamond" w:hAnsi="Garamond"/>
          <w:i/>
          <w:sz w:val="24"/>
          <w:szCs w:val="24"/>
        </w:rPr>
        <w:t xml:space="preserve"> </w:t>
      </w:r>
      <w:r w:rsidR="002D4C9B">
        <w:rPr>
          <w:rFonts w:ascii="Garamond" w:hAnsi="Garamond"/>
          <w:sz w:val="24"/>
          <w:szCs w:val="24"/>
        </w:rPr>
        <w:t>I</w:t>
      </w:r>
      <w:r>
        <w:rPr>
          <w:rFonts w:ascii="Garamond" w:hAnsi="Garamond"/>
          <w:sz w:val="24"/>
          <w:szCs w:val="24"/>
        </w:rPr>
        <w:t xml:space="preserve">n ogni caso, gli effetti positivi presto prodotti dall’utilizzo del certificato COVID digitale dell’Unione europea sono stati: un indiretto e rapido aumento del tasso di vaccinazione in Europa contro il SARS-COV-2 e una maggiore sicurezza nelle attività che comportano lo spostamento per i cittadini dell’Unione.  Se questo è vero, occorre rilevare come il </w:t>
      </w:r>
      <w:r w:rsidRPr="00156847">
        <w:rPr>
          <w:rFonts w:ascii="Garamond" w:hAnsi="Garamond"/>
          <w:i/>
          <w:sz w:val="24"/>
          <w:szCs w:val="24"/>
        </w:rPr>
        <w:t>green pass</w:t>
      </w:r>
      <w:r>
        <w:rPr>
          <w:rFonts w:ascii="Garamond" w:hAnsi="Garamond"/>
          <w:sz w:val="24"/>
          <w:szCs w:val="24"/>
        </w:rPr>
        <w:t xml:space="preserve"> abbia evidenziato alcune contraddizioni in termini, puntualmente rilevate dalla dottrina</w:t>
      </w:r>
      <w:r w:rsidR="00970264">
        <w:rPr>
          <w:rFonts w:ascii="Garamond" w:hAnsi="Garamond"/>
          <w:sz w:val="24"/>
          <w:szCs w:val="24"/>
        </w:rPr>
        <w:t>.</w:t>
      </w:r>
    </w:p>
    <w:p w14:paraId="3EAC6602" w14:textId="48B48576" w:rsidR="0061721E" w:rsidRDefault="00656A51" w:rsidP="0061721E">
      <w:pPr>
        <w:spacing w:after="0" w:line="240" w:lineRule="auto"/>
        <w:ind w:firstLine="567"/>
        <w:jc w:val="both"/>
        <w:rPr>
          <w:rFonts w:ascii="Garamond" w:hAnsi="Garamond"/>
          <w:sz w:val="24"/>
          <w:szCs w:val="24"/>
        </w:rPr>
      </w:pPr>
      <w:r>
        <w:rPr>
          <w:rFonts w:ascii="Garamond" w:hAnsi="Garamond"/>
          <w:sz w:val="24"/>
          <w:szCs w:val="24"/>
        </w:rPr>
        <w:t>Il legislatore europeo, infatti, in previsione dell’eventuale peggioramento del quadro epidemiologico (nazionale o regionale) dovuto alla diffusione di nuove varianti del SARS-COV-2, ha autorizzato ciascuno Stato membro dell’UE (in particolari circostanze) a introdurre ulteriori</w:t>
      </w:r>
      <w:r>
        <w:rPr>
          <w:rStyle w:val="Rimandonotaapidipagina"/>
          <w:rFonts w:ascii="Garamond" w:hAnsi="Garamond"/>
          <w:sz w:val="24"/>
          <w:szCs w:val="24"/>
        </w:rPr>
        <w:footnoteReference w:id="38"/>
      </w:r>
      <w:r>
        <w:rPr>
          <w:rFonts w:ascii="Garamond" w:hAnsi="Garamond"/>
          <w:sz w:val="24"/>
          <w:szCs w:val="24"/>
        </w:rPr>
        <w:t xml:space="preserve"> </w:t>
      </w:r>
      <w:r w:rsidRPr="00701EED">
        <w:rPr>
          <w:rFonts w:ascii="Garamond" w:hAnsi="Garamond"/>
          <w:sz w:val="24"/>
          <w:szCs w:val="24"/>
        </w:rPr>
        <w:t xml:space="preserve">restrizioni </w:t>
      </w:r>
      <w:r>
        <w:rPr>
          <w:rFonts w:ascii="Garamond" w:hAnsi="Garamond"/>
          <w:sz w:val="24"/>
          <w:szCs w:val="24"/>
        </w:rPr>
        <w:t xml:space="preserve">in aggiunta al </w:t>
      </w:r>
      <w:r w:rsidRPr="00A32524">
        <w:rPr>
          <w:rFonts w:ascii="Garamond" w:hAnsi="Garamond"/>
          <w:i/>
          <w:sz w:val="24"/>
          <w:szCs w:val="24"/>
        </w:rPr>
        <w:t>green pass</w:t>
      </w:r>
      <w:r>
        <w:rPr>
          <w:rFonts w:ascii="Garamond" w:hAnsi="Garamond"/>
          <w:sz w:val="24"/>
          <w:szCs w:val="24"/>
        </w:rPr>
        <w:t>,</w:t>
      </w:r>
      <w:r w:rsidRPr="00701EED">
        <w:rPr>
          <w:rFonts w:ascii="Garamond" w:hAnsi="Garamond"/>
          <w:sz w:val="24"/>
          <w:szCs w:val="24"/>
        </w:rPr>
        <w:t xml:space="preserve"> </w:t>
      </w:r>
      <w:r>
        <w:rPr>
          <w:rFonts w:ascii="Garamond" w:hAnsi="Garamond"/>
          <w:sz w:val="24"/>
          <w:szCs w:val="24"/>
        </w:rPr>
        <w:t xml:space="preserve">anche per i possessori del certificato, stante la normativa, prevedesse che </w:t>
      </w:r>
      <w:r w:rsidR="00433424" w:rsidRPr="00433424">
        <w:rPr>
          <w:rFonts w:ascii="Garamond" w:hAnsi="Garamond"/>
          <w:sz w:val="24"/>
          <w:szCs w:val="24"/>
        </w:rPr>
        <w:t>«</w:t>
      </w:r>
      <w:r w:rsidRPr="00156101">
        <w:rPr>
          <w:rFonts w:ascii="Garamond" w:hAnsi="Garamond"/>
          <w:sz w:val="24"/>
          <w:szCs w:val="24"/>
        </w:rPr>
        <w:t xml:space="preserve">la verifica dei certificati </w:t>
      </w:r>
      <w:r w:rsidR="007B46BE" w:rsidRPr="002D4C9B">
        <w:rPr>
          <w:rFonts w:ascii="Garamond" w:hAnsi="Garamond"/>
          <w:sz w:val="24"/>
          <w:szCs w:val="24"/>
        </w:rPr>
        <w:t>(…)</w:t>
      </w:r>
      <w:r w:rsidR="007B46BE" w:rsidRPr="00156101">
        <w:rPr>
          <w:rFonts w:ascii="Garamond" w:hAnsi="Garamond"/>
          <w:sz w:val="24"/>
          <w:szCs w:val="24"/>
        </w:rPr>
        <w:t xml:space="preserve"> </w:t>
      </w:r>
      <w:r w:rsidRPr="00156101">
        <w:rPr>
          <w:rFonts w:ascii="Garamond" w:hAnsi="Garamond"/>
          <w:sz w:val="24"/>
          <w:szCs w:val="24"/>
        </w:rPr>
        <w:t>non dovrebbe comportare ulteriori restrizioni alla libertà di circolazione all'interno dell'Unione o restrizioni ai viaggi all'interno dello spazio Schengen</w:t>
      </w:r>
      <w:r w:rsidR="00433424" w:rsidRPr="00433424">
        <w:rPr>
          <w:rFonts w:ascii="Garamond" w:hAnsi="Garamond"/>
          <w:sz w:val="24"/>
          <w:szCs w:val="24"/>
        </w:rPr>
        <w:t>»</w:t>
      </w:r>
      <w:r>
        <w:rPr>
          <w:rStyle w:val="Rimandonotaapidipagina"/>
          <w:rFonts w:ascii="Garamond" w:hAnsi="Garamond"/>
          <w:sz w:val="24"/>
          <w:szCs w:val="24"/>
        </w:rPr>
        <w:footnoteReference w:id="39"/>
      </w:r>
      <w:r>
        <w:rPr>
          <w:rFonts w:ascii="Garamond" w:hAnsi="Garamond"/>
          <w:sz w:val="24"/>
          <w:szCs w:val="24"/>
        </w:rPr>
        <w:t>, contrastando così con la filosofia di fondo di riapertura dei viaggi in sicurezza e del graduale allentamento delle restrizioni</w:t>
      </w:r>
      <w:r w:rsidRPr="00701EED">
        <w:rPr>
          <w:rFonts w:ascii="Garamond" w:hAnsi="Garamond"/>
          <w:sz w:val="24"/>
          <w:szCs w:val="24"/>
        </w:rPr>
        <w:t>.</w:t>
      </w:r>
      <w:r>
        <w:rPr>
          <w:rFonts w:ascii="Garamond" w:hAnsi="Garamond"/>
          <w:sz w:val="24"/>
          <w:szCs w:val="24"/>
        </w:rPr>
        <w:t xml:space="preserve"> Inoltre, tale certificato non avrebbe dovuto costituire (perlomeno secondo l’iniziale interpretazione teorica svolta dalle istituzioni europee) </w:t>
      </w:r>
      <w:r w:rsidR="00433424" w:rsidRPr="00433424">
        <w:rPr>
          <w:rFonts w:ascii="Garamond" w:hAnsi="Garamond"/>
          <w:sz w:val="24"/>
          <w:szCs w:val="24"/>
        </w:rPr>
        <w:t>«</w:t>
      </w:r>
      <w:r w:rsidRPr="00156101">
        <w:rPr>
          <w:rFonts w:ascii="Garamond" w:hAnsi="Garamond"/>
          <w:sz w:val="24"/>
          <w:szCs w:val="24"/>
        </w:rPr>
        <w:t>un'agevolazione o un incentivo all'adozione di restrizioni alla libera circolazione o di restrizioni ad altri diritti fondamentali, in risposta alla pandemia di COVID-19</w:t>
      </w:r>
      <w:r w:rsidR="00433424" w:rsidRPr="00433424">
        <w:rPr>
          <w:rFonts w:ascii="Garamond" w:hAnsi="Garamond"/>
          <w:sz w:val="24"/>
          <w:szCs w:val="24"/>
        </w:rPr>
        <w:t>»</w:t>
      </w:r>
      <w:r w:rsidRPr="00433424">
        <w:rPr>
          <w:rFonts w:ascii="Garamond" w:hAnsi="Garamond"/>
          <w:sz w:val="24"/>
          <w:szCs w:val="24"/>
          <w:vertAlign w:val="superscript"/>
        </w:rPr>
        <w:footnoteReference w:id="40"/>
      </w:r>
      <w:r w:rsidRPr="00433424">
        <w:rPr>
          <w:rFonts w:ascii="Garamond" w:hAnsi="Garamond"/>
          <w:sz w:val="24"/>
          <w:szCs w:val="24"/>
        </w:rPr>
        <w:t>.</w:t>
      </w:r>
    </w:p>
    <w:p w14:paraId="6B261B11" w14:textId="2047C909" w:rsidR="0061721E" w:rsidRDefault="00656A51" w:rsidP="0061721E">
      <w:pPr>
        <w:spacing w:after="0" w:line="240" w:lineRule="auto"/>
        <w:ind w:firstLine="567"/>
        <w:jc w:val="both"/>
        <w:rPr>
          <w:rFonts w:ascii="Garamond" w:hAnsi="Garamond"/>
          <w:sz w:val="24"/>
          <w:szCs w:val="24"/>
        </w:rPr>
      </w:pPr>
      <w:r>
        <w:rPr>
          <w:rFonts w:ascii="Garamond" w:hAnsi="Garamond"/>
          <w:sz w:val="24"/>
          <w:szCs w:val="24"/>
        </w:rPr>
        <w:t>In molti</w:t>
      </w:r>
      <w:r>
        <w:rPr>
          <w:rStyle w:val="Rimandonotaapidipagina"/>
          <w:rFonts w:ascii="Garamond" w:hAnsi="Garamond"/>
          <w:sz w:val="24"/>
          <w:szCs w:val="24"/>
        </w:rPr>
        <w:footnoteReference w:id="41"/>
      </w:r>
      <w:r>
        <w:rPr>
          <w:rFonts w:ascii="Garamond" w:hAnsi="Garamond"/>
          <w:sz w:val="24"/>
          <w:szCs w:val="24"/>
        </w:rPr>
        <w:t xml:space="preserve">, poi, hanno sostenuto come di fatto il </w:t>
      </w:r>
      <w:r w:rsidRPr="007B30D0">
        <w:rPr>
          <w:rFonts w:ascii="Garamond" w:hAnsi="Garamond"/>
          <w:i/>
          <w:sz w:val="24"/>
          <w:szCs w:val="24"/>
        </w:rPr>
        <w:t>green pass</w:t>
      </w:r>
      <w:r>
        <w:rPr>
          <w:rFonts w:ascii="Garamond" w:hAnsi="Garamond"/>
          <w:sz w:val="24"/>
          <w:szCs w:val="24"/>
        </w:rPr>
        <w:t xml:space="preserve"> non solo costituisse una discriminazione irragionevole, ma anche che tale discriminazione fosse da ricondursi al trattamento più favorevole riservato ai vaccinati (o guariti), inducendo, di fatto, chi non rientrasse in tale categoria a sottoporsi con frequenza</w:t>
      </w:r>
      <w:r>
        <w:rPr>
          <w:rStyle w:val="Rimandonotaapidipagina"/>
          <w:rFonts w:ascii="Garamond" w:hAnsi="Garamond"/>
          <w:sz w:val="24"/>
          <w:szCs w:val="24"/>
        </w:rPr>
        <w:footnoteReference w:id="42"/>
      </w:r>
      <w:r>
        <w:rPr>
          <w:rFonts w:ascii="Garamond" w:hAnsi="Garamond"/>
          <w:sz w:val="24"/>
          <w:szCs w:val="24"/>
        </w:rPr>
        <w:t xml:space="preserve"> quasi giornaliera ai test antigenici di rilevamento del Covid-19. </w:t>
      </w:r>
      <w:r w:rsidR="007B46BE">
        <w:rPr>
          <w:rFonts w:ascii="Garamond" w:hAnsi="Garamond"/>
          <w:sz w:val="24"/>
          <w:szCs w:val="24"/>
        </w:rPr>
        <w:t xml:space="preserve">Con il netto peggioramento del quadro epidemiologico a causa dell’imperversare della variante </w:t>
      </w:r>
      <w:r w:rsidR="007B46BE" w:rsidRPr="007B46BE">
        <w:rPr>
          <w:rFonts w:ascii="Garamond" w:hAnsi="Garamond"/>
          <w:i/>
          <w:sz w:val="24"/>
          <w:szCs w:val="24"/>
        </w:rPr>
        <w:t>Omicron</w:t>
      </w:r>
      <w:r w:rsidR="007B46BE">
        <w:rPr>
          <w:rFonts w:ascii="Garamond" w:hAnsi="Garamond"/>
          <w:sz w:val="24"/>
          <w:szCs w:val="24"/>
        </w:rPr>
        <w:t xml:space="preserve"> (</w:t>
      </w:r>
      <w:r>
        <w:rPr>
          <w:rFonts w:ascii="Garamond" w:hAnsi="Garamond"/>
          <w:sz w:val="24"/>
          <w:szCs w:val="24"/>
        </w:rPr>
        <w:t>tenendo conto della diversa</w:t>
      </w:r>
      <w:r>
        <w:rPr>
          <w:rStyle w:val="Rimandonotaapidipagina"/>
          <w:rFonts w:ascii="Garamond" w:hAnsi="Garamond"/>
          <w:sz w:val="24"/>
          <w:szCs w:val="24"/>
        </w:rPr>
        <w:footnoteReference w:id="43"/>
      </w:r>
      <w:r>
        <w:rPr>
          <w:rFonts w:ascii="Garamond" w:hAnsi="Garamond"/>
          <w:sz w:val="24"/>
          <w:szCs w:val="24"/>
        </w:rPr>
        <w:t xml:space="preserve"> applicazione interna</w:t>
      </w:r>
      <w:r w:rsidR="007B46BE">
        <w:rPr>
          <w:rFonts w:ascii="Garamond" w:hAnsi="Garamond"/>
          <w:sz w:val="24"/>
          <w:szCs w:val="24"/>
        </w:rPr>
        <w:t>)</w:t>
      </w:r>
      <w:r>
        <w:rPr>
          <w:rFonts w:ascii="Garamond" w:hAnsi="Garamond"/>
          <w:sz w:val="24"/>
          <w:szCs w:val="24"/>
        </w:rPr>
        <w:t xml:space="preserve"> </w:t>
      </w:r>
      <w:r w:rsidR="007B46BE">
        <w:rPr>
          <w:rFonts w:ascii="Garamond" w:hAnsi="Garamond"/>
          <w:sz w:val="24"/>
          <w:szCs w:val="24"/>
        </w:rPr>
        <w:lastRenderedPageBreak/>
        <w:t xml:space="preserve">il </w:t>
      </w:r>
      <w:r w:rsidRPr="001B158D">
        <w:rPr>
          <w:rFonts w:ascii="Garamond" w:hAnsi="Garamond"/>
          <w:i/>
          <w:sz w:val="24"/>
          <w:szCs w:val="24"/>
        </w:rPr>
        <w:t>green pass</w:t>
      </w:r>
      <w:r>
        <w:rPr>
          <w:rFonts w:ascii="Garamond" w:hAnsi="Garamond"/>
          <w:sz w:val="24"/>
          <w:szCs w:val="24"/>
        </w:rPr>
        <w:t>, ha presto assunto, in un vasto numero di Paesi europei, la qualifica di requisito essenziale per l’accesso ad alcune attività e servizi</w:t>
      </w:r>
      <w:r>
        <w:rPr>
          <w:rStyle w:val="Rimandonotaapidipagina"/>
          <w:rFonts w:ascii="Garamond" w:hAnsi="Garamond"/>
          <w:sz w:val="24"/>
          <w:szCs w:val="24"/>
        </w:rPr>
        <w:footnoteReference w:id="44"/>
      </w:r>
      <w:r>
        <w:rPr>
          <w:rFonts w:ascii="Garamond" w:hAnsi="Garamond"/>
          <w:sz w:val="24"/>
          <w:szCs w:val="24"/>
        </w:rPr>
        <w:t xml:space="preserve">. </w:t>
      </w:r>
      <w:r>
        <w:rPr>
          <w:rFonts w:ascii="Garamond" w:hAnsi="Garamond"/>
          <w:sz w:val="24"/>
          <w:szCs w:val="24"/>
        </w:rPr>
        <w:tab/>
      </w:r>
      <w:r>
        <w:rPr>
          <w:rFonts w:ascii="Garamond" w:hAnsi="Garamond"/>
          <w:sz w:val="24"/>
          <w:szCs w:val="24"/>
        </w:rPr>
        <w:tab/>
      </w:r>
      <w:r>
        <w:rPr>
          <w:rFonts w:ascii="Garamond" w:hAnsi="Garamond"/>
          <w:sz w:val="24"/>
          <w:szCs w:val="24"/>
        </w:rPr>
        <w:tab/>
      </w:r>
    </w:p>
    <w:p w14:paraId="5F8DB9A7" w14:textId="4040B07F" w:rsidR="00656A51" w:rsidRDefault="00656A51" w:rsidP="0061721E">
      <w:pPr>
        <w:spacing w:after="0" w:line="240" w:lineRule="auto"/>
        <w:ind w:firstLine="567"/>
        <w:jc w:val="both"/>
        <w:rPr>
          <w:rFonts w:ascii="Garamond" w:hAnsi="Garamond"/>
          <w:sz w:val="24"/>
          <w:szCs w:val="24"/>
        </w:rPr>
      </w:pPr>
      <w:r>
        <w:rPr>
          <w:rFonts w:ascii="Garamond" w:hAnsi="Garamond"/>
          <w:sz w:val="24"/>
          <w:szCs w:val="24"/>
        </w:rPr>
        <w:t>Ciò ha, dunque, indotto un crescente numero di studiosi</w:t>
      </w:r>
      <w:r>
        <w:rPr>
          <w:rStyle w:val="Rimandonotaapidipagina"/>
          <w:rFonts w:ascii="Garamond" w:hAnsi="Garamond"/>
          <w:sz w:val="24"/>
          <w:szCs w:val="24"/>
        </w:rPr>
        <w:footnoteReference w:id="45"/>
      </w:r>
      <w:r>
        <w:rPr>
          <w:rFonts w:ascii="Garamond" w:hAnsi="Garamond"/>
          <w:sz w:val="24"/>
          <w:szCs w:val="24"/>
        </w:rPr>
        <w:t xml:space="preserve"> a ritenere che esso introducesse un obbligo surrettizio di vaccinazione, ponendosi così in violazione del paragrafo 36 della normativa europea che sancisce la necessità di </w:t>
      </w:r>
      <w:r w:rsidR="00D24A98" w:rsidRPr="00D24A98">
        <w:rPr>
          <w:rFonts w:ascii="Garamond" w:hAnsi="Garamond"/>
          <w:sz w:val="24"/>
          <w:szCs w:val="24"/>
        </w:rPr>
        <w:t>«</w:t>
      </w:r>
      <w:r w:rsidRPr="00156101">
        <w:rPr>
          <w:rFonts w:ascii="Garamond" w:hAnsi="Garamond"/>
          <w:sz w:val="24"/>
          <w:szCs w:val="24"/>
        </w:rPr>
        <w:t xml:space="preserve">evitare la discriminazione diretta o indiretta di persone che non sono vaccinate, per esempio per motivi medici, perché non rientrano nel gruppo di destinatari del vaccino </w:t>
      </w:r>
      <w:proofErr w:type="spellStart"/>
      <w:r w:rsidRPr="00156101">
        <w:rPr>
          <w:rFonts w:ascii="Garamond" w:hAnsi="Garamond"/>
          <w:sz w:val="24"/>
          <w:szCs w:val="24"/>
        </w:rPr>
        <w:t>anticovid</w:t>
      </w:r>
      <w:proofErr w:type="spellEnd"/>
      <w:r w:rsidRPr="00156101">
        <w:rPr>
          <w:rFonts w:ascii="Garamond" w:hAnsi="Garamond"/>
          <w:sz w:val="24"/>
          <w:szCs w:val="24"/>
        </w:rPr>
        <w:t xml:space="preserve"> </w:t>
      </w:r>
      <w:r w:rsidRPr="00EC6134">
        <w:rPr>
          <w:rFonts w:ascii="Garamond" w:hAnsi="Garamond"/>
          <w:sz w:val="24"/>
          <w:szCs w:val="24"/>
        </w:rPr>
        <w:t>(…)</w:t>
      </w:r>
      <w:r w:rsidRPr="00156101">
        <w:rPr>
          <w:rFonts w:ascii="Garamond" w:hAnsi="Garamond"/>
          <w:sz w:val="24"/>
          <w:szCs w:val="24"/>
        </w:rPr>
        <w:t xml:space="preserve"> </w:t>
      </w:r>
      <w:r w:rsidRPr="00EC6134">
        <w:rPr>
          <w:rFonts w:ascii="Garamond" w:hAnsi="Garamond"/>
          <w:sz w:val="24"/>
          <w:szCs w:val="24"/>
        </w:rPr>
        <w:t xml:space="preserve">[e che il </w:t>
      </w:r>
      <w:r w:rsidRPr="00156101">
        <w:rPr>
          <w:rFonts w:ascii="Garamond" w:hAnsi="Garamond"/>
          <w:sz w:val="24"/>
          <w:szCs w:val="24"/>
        </w:rPr>
        <w:t>green pass</w:t>
      </w:r>
      <w:r w:rsidRPr="00EC6134">
        <w:rPr>
          <w:rFonts w:ascii="Garamond" w:hAnsi="Garamond"/>
          <w:sz w:val="24"/>
          <w:szCs w:val="24"/>
        </w:rPr>
        <w:t>]</w:t>
      </w:r>
      <w:r w:rsidRPr="00156101">
        <w:rPr>
          <w:rFonts w:ascii="Garamond" w:hAnsi="Garamond"/>
          <w:sz w:val="24"/>
          <w:szCs w:val="24"/>
        </w:rPr>
        <w:t xml:space="preserve"> non dovrebbe costituire una condizione preliminare per l'esercizio del diritto di libera circolazione o per l'utilizzo di servizi di trasporto passeggeri transfrontalieri quali linee aeree, treni, pullman, traghetti o qualsiasi altro mezzo di trasporto</w:t>
      </w:r>
      <w:r w:rsidR="00D24A98" w:rsidRPr="00D24A98">
        <w:rPr>
          <w:rFonts w:ascii="Garamond" w:hAnsi="Garamond"/>
          <w:sz w:val="24"/>
          <w:szCs w:val="24"/>
        </w:rPr>
        <w:t>»</w:t>
      </w:r>
      <w:r w:rsidRPr="00D24A98">
        <w:rPr>
          <w:rStyle w:val="Rimandonotaapidipagina"/>
          <w:rFonts w:ascii="Garamond" w:hAnsi="Garamond"/>
          <w:sz w:val="24"/>
          <w:szCs w:val="24"/>
        </w:rPr>
        <w:footnoteReference w:id="46"/>
      </w:r>
      <w:r w:rsidR="00D24A98" w:rsidRPr="00D24A98">
        <w:rPr>
          <w:rFonts w:ascii="Garamond" w:hAnsi="Garamond"/>
          <w:sz w:val="24"/>
          <w:szCs w:val="24"/>
        </w:rPr>
        <w:t>.</w:t>
      </w:r>
      <w:r>
        <w:rPr>
          <w:rFonts w:ascii="Garamond" w:hAnsi="Garamond"/>
          <w:sz w:val="24"/>
          <w:szCs w:val="24"/>
        </w:rPr>
        <w:t xml:space="preserve"> Merita senza dubbio menzione e approfondimento nei successivi paragrafi, l’applicazione di questo strumento nell’ordinamento francese (e nella relativa giurisprudenza costituzionale), le cui autorità statali si sono fin da subito fatte promotrici di una rigogliosa campagna vaccinale, prevedendo anche un’applicazione peculiare dell’istituto del </w:t>
      </w:r>
      <w:r w:rsidRPr="007930CD">
        <w:rPr>
          <w:rFonts w:ascii="Garamond" w:hAnsi="Garamond"/>
          <w:i/>
          <w:sz w:val="24"/>
          <w:szCs w:val="24"/>
        </w:rPr>
        <w:t>green pass</w:t>
      </w:r>
      <w:r>
        <w:rPr>
          <w:rFonts w:ascii="Garamond" w:hAnsi="Garamond"/>
          <w:sz w:val="24"/>
          <w:szCs w:val="24"/>
        </w:rPr>
        <w:t xml:space="preserve"> europeo (poi trasformato </w:t>
      </w:r>
      <w:r w:rsidRPr="00AD3D2C">
        <w:rPr>
          <w:rFonts w:ascii="Garamond" w:hAnsi="Garamond"/>
          <w:i/>
          <w:sz w:val="24"/>
          <w:szCs w:val="24"/>
        </w:rPr>
        <w:t>de facto</w:t>
      </w:r>
      <w:r>
        <w:rPr>
          <w:rFonts w:ascii="Garamond" w:hAnsi="Garamond"/>
          <w:sz w:val="24"/>
          <w:szCs w:val="24"/>
        </w:rPr>
        <w:t xml:space="preserve"> in un </w:t>
      </w:r>
      <w:r w:rsidR="003B65CE">
        <w:rPr>
          <w:rFonts w:ascii="Garamond" w:hAnsi="Garamond"/>
          <w:sz w:val="24"/>
          <w:szCs w:val="24"/>
        </w:rPr>
        <w:t>“</w:t>
      </w:r>
      <w:r w:rsidRPr="007930CD">
        <w:rPr>
          <w:rFonts w:ascii="Garamond" w:hAnsi="Garamond"/>
          <w:i/>
          <w:sz w:val="24"/>
          <w:szCs w:val="24"/>
        </w:rPr>
        <w:t xml:space="preserve">passe </w:t>
      </w:r>
      <w:proofErr w:type="spellStart"/>
      <w:r w:rsidRPr="007930CD">
        <w:rPr>
          <w:rFonts w:ascii="Garamond" w:hAnsi="Garamond"/>
          <w:i/>
          <w:sz w:val="24"/>
          <w:szCs w:val="24"/>
        </w:rPr>
        <w:t>vaccinal</w:t>
      </w:r>
      <w:proofErr w:type="spellEnd"/>
      <w:r w:rsidR="003B65CE">
        <w:rPr>
          <w:rFonts w:ascii="Garamond" w:hAnsi="Garamond"/>
          <w:sz w:val="24"/>
          <w:szCs w:val="24"/>
        </w:rPr>
        <w:t>”</w:t>
      </w:r>
      <w:r>
        <w:rPr>
          <w:rFonts w:ascii="Garamond" w:hAnsi="Garamond"/>
          <w:sz w:val="24"/>
          <w:szCs w:val="24"/>
        </w:rPr>
        <w:t xml:space="preserve">) allo scopo di tutelare la salute pubblica. </w:t>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t xml:space="preserve"> </w:t>
      </w:r>
    </w:p>
    <w:p w14:paraId="5B181FD9" w14:textId="77777777" w:rsidR="00656A51" w:rsidRDefault="00656A51" w:rsidP="0061721E">
      <w:pPr>
        <w:spacing w:after="0" w:line="240" w:lineRule="auto"/>
        <w:ind w:firstLine="567"/>
        <w:jc w:val="both"/>
        <w:rPr>
          <w:rFonts w:ascii="Garamond" w:hAnsi="Garamond"/>
          <w:sz w:val="24"/>
          <w:szCs w:val="24"/>
        </w:rPr>
      </w:pPr>
    </w:p>
    <w:p w14:paraId="478A9C0D" w14:textId="5070E5EB" w:rsidR="00656A51" w:rsidRPr="00697A9A" w:rsidRDefault="00697A9A" w:rsidP="00697A9A">
      <w:pPr>
        <w:spacing w:after="0" w:line="240" w:lineRule="auto"/>
        <w:jc w:val="both"/>
        <w:rPr>
          <w:rFonts w:ascii="Garamond" w:hAnsi="Garamond"/>
          <w:i/>
          <w:sz w:val="24"/>
          <w:szCs w:val="24"/>
        </w:rPr>
      </w:pPr>
      <w:r w:rsidRPr="00FA35C7">
        <w:rPr>
          <w:rFonts w:ascii="Garamond" w:hAnsi="Garamond"/>
          <w:sz w:val="24"/>
          <w:szCs w:val="24"/>
        </w:rPr>
        <w:t>3.</w:t>
      </w:r>
      <w:r w:rsidR="002D5BD9">
        <w:rPr>
          <w:rFonts w:ascii="Garamond" w:hAnsi="Garamond"/>
          <w:i/>
          <w:sz w:val="24"/>
          <w:szCs w:val="24"/>
        </w:rPr>
        <w:t xml:space="preserve"> </w:t>
      </w:r>
      <w:r w:rsidR="00656A51" w:rsidRPr="00697A9A">
        <w:rPr>
          <w:rFonts w:ascii="Garamond" w:hAnsi="Garamond"/>
          <w:i/>
          <w:sz w:val="24"/>
          <w:szCs w:val="24"/>
        </w:rPr>
        <w:t xml:space="preserve">Il regime </w:t>
      </w:r>
      <w:proofErr w:type="gramStart"/>
      <w:r w:rsidR="00656A51" w:rsidRPr="00697A9A">
        <w:rPr>
          <w:rFonts w:ascii="Garamond" w:hAnsi="Garamond"/>
          <w:i/>
          <w:sz w:val="24"/>
          <w:szCs w:val="24"/>
        </w:rPr>
        <w:t xml:space="preserve">del </w:t>
      </w:r>
      <w:r w:rsidR="00656A51" w:rsidRPr="00156101">
        <w:rPr>
          <w:rFonts w:ascii="Garamond" w:hAnsi="Garamond"/>
          <w:sz w:val="24"/>
          <w:szCs w:val="24"/>
        </w:rPr>
        <w:t>passe</w:t>
      </w:r>
      <w:proofErr w:type="gramEnd"/>
      <w:r w:rsidR="00656A51" w:rsidRPr="00156101">
        <w:rPr>
          <w:rFonts w:ascii="Garamond" w:hAnsi="Garamond"/>
          <w:sz w:val="24"/>
          <w:szCs w:val="24"/>
        </w:rPr>
        <w:t xml:space="preserve"> </w:t>
      </w:r>
      <w:proofErr w:type="spellStart"/>
      <w:r w:rsidR="00656A51" w:rsidRPr="00156101">
        <w:rPr>
          <w:rFonts w:ascii="Garamond" w:hAnsi="Garamond"/>
          <w:sz w:val="24"/>
          <w:szCs w:val="24"/>
        </w:rPr>
        <w:t>sanitaire</w:t>
      </w:r>
      <w:proofErr w:type="spellEnd"/>
      <w:r w:rsidR="00656A51" w:rsidRPr="00697A9A">
        <w:rPr>
          <w:rFonts w:ascii="Garamond" w:hAnsi="Garamond"/>
          <w:i/>
          <w:sz w:val="24"/>
          <w:szCs w:val="24"/>
        </w:rPr>
        <w:t xml:space="preserve"> e la giurisprudenza costituzionale francese</w:t>
      </w:r>
    </w:p>
    <w:p w14:paraId="2B917EDB" w14:textId="77777777" w:rsidR="00656A51" w:rsidRDefault="00656A51" w:rsidP="0061721E">
      <w:pPr>
        <w:pStyle w:val="Paragrafoelenco"/>
        <w:spacing w:after="0" w:line="240" w:lineRule="auto"/>
        <w:ind w:left="0" w:firstLine="567"/>
        <w:jc w:val="both"/>
        <w:rPr>
          <w:rFonts w:ascii="Garamond" w:hAnsi="Garamond"/>
          <w:i/>
          <w:sz w:val="24"/>
          <w:szCs w:val="24"/>
        </w:rPr>
      </w:pPr>
    </w:p>
    <w:p w14:paraId="07BC7320" w14:textId="77777777" w:rsidR="00656A51" w:rsidRPr="00405153" w:rsidRDefault="00656A51" w:rsidP="0061721E">
      <w:pPr>
        <w:pStyle w:val="Paragrafoelenco"/>
        <w:spacing w:after="0" w:line="240" w:lineRule="auto"/>
        <w:ind w:left="0" w:firstLine="567"/>
        <w:jc w:val="both"/>
        <w:rPr>
          <w:rFonts w:ascii="Garamond" w:hAnsi="Garamond"/>
          <w:i/>
          <w:sz w:val="24"/>
          <w:szCs w:val="24"/>
        </w:rPr>
      </w:pPr>
    </w:p>
    <w:p w14:paraId="476A1AEA" w14:textId="09F52EF0" w:rsidR="0061721E" w:rsidRDefault="00656A51" w:rsidP="0061721E">
      <w:pPr>
        <w:spacing w:after="0" w:line="240" w:lineRule="auto"/>
        <w:ind w:firstLine="567"/>
        <w:jc w:val="both"/>
        <w:rPr>
          <w:rFonts w:ascii="Garamond" w:hAnsi="Garamond"/>
          <w:bCs/>
          <w:sz w:val="24"/>
          <w:szCs w:val="24"/>
        </w:rPr>
      </w:pPr>
      <w:r w:rsidRPr="00405153">
        <w:rPr>
          <w:rFonts w:ascii="Garamond" w:hAnsi="Garamond"/>
          <w:sz w:val="24"/>
          <w:szCs w:val="24"/>
        </w:rPr>
        <w:t xml:space="preserve">Com’è noto, il </w:t>
      </w:r>
      <w:r w:rsidRPr="00405153">
        <w:rPr>
          <w:rFonts w:ascii="Garamond" w:hAnsi="Garamond"/>
          <w:i/>
          <w:sz w:val="24"/>
          <w:szCs w:val="24"/>
        </w:rPr>
        <w:t>green pass</w:t>
      </w:r>
      <w:r w:rsidRPr="00405153">
        <w:rPr>
          <w:rFonts w:ascii="Garamond" w:hAnsi="Garamond"/>
          <w:sz w:val="24"/>
          <w:szCs w:val="24"/>
        </w:rPr>
        <w:t xml:space="preserve"> dell’UE, inizialmente </w:t>
      </w:r>
      <w:r>
        <w:rPr>
          <w:rFonts w:ascii="Garamond" w:hAnsi="Garamond"/>
          <w:sz w:val="24"/>
          <w:szCs w:val="24"/>
        </w:rPr>
        <w:t xml:space="preserve">ideato </w:t>
      </w:r>
      <w:r w:rsidRPr="00405153">
        <w:rPr>
          <w:rFonts w:ascii="Garamond" w:hAnsi="Garamond"/>
          <w:sz w:val="24"/>
          <w:szCs w:val="24"/>
        </w:rPr>
        <w:t xml:space="preserve">per riprendere in sicurezza gli spostamenti all’interno dello spazio europeo, ha tempestivamente indotto alcuni legislatori dei Paesi membri, come, ad esempio, la Francia ad estendere il suo ambito di applicazione ai: bar; ristoranti; cinema; ospedali; e trasporti; richiedendo, peraltro, agli utenti la titolarità del certificato quale condizione necessaria per l’accesso a suddetti luoghi. In Francia - seppur il </w:t>
      </w:r>
      <w:r w:rsidRPr="00405153">
        <w:rPr>
          <w:rFonts w:ascii="Garamond" w:hAnsi="Garamond"/>
          <w:i/>
          <w:sz w:val="24"/>
          <w:szCs w:val="24"/>
        </w:rPr>
        <w:t xml:space="preserve">passe </w:t>
      </w:r>
      <w:proofErr w:type="spellStart"/>
      <w:r w:rsidRPr="00405153">
        <w:rPr>
          <w:rFonts w:ascii="Garamond" w:hAnsi="Garamond"/>
          <w:i/>
          <w:sz w:val="24"/>
          <w:szCs w:val="24"/>
        </w:rPr>
        <w:t>sanitaire</w:t>
      </w:r>
      <w:proofErr w:type="spellEnd"/>
      <w:r w:rsidRPr="00405153">
        <w:rPr>
          <w:rFonts w:ascii="Garamond" w:hAnsi="Garamond"/>
          <w:sz w:val="24"/>
          <w:szCs w:val="24"/>
        </w:rPr>
        <w:t xml:space="preserve"> possa essere assimilabile a quello rivisitato dall’esecutivo italiano con </w:t>
      </w:r>
      <w:proofErr w:type="spellStart"/>
      <w:r w:rsidRPr="00405153">
        <w:rPr>
          <w:rFonts w:ascii="Garamond" w:hAnsi="Garamond"/>
          <w:sz w:val="24"/>
          <w:szCs w:val="24"/>
        </w:rPr>
        <w:t>d.l.</w:t>
      </w:r>
      <w:proofErr w:type="spellEnd"/>
      <w:r w:rsidRPr="00405153">
        <w:rPr>
          <w:rFonts w:ascii="Garamond" w:hAnsi="Garamond"/>
          <w:sz w:val="24"/>
          <w:szCs w:val="24"/>
        </w:rPr>
        <w:t xml:space="preserve"> 105/2021</w:t>
      </w:r>
      <w:r w:rsidRPr="00405153">
        <w:rPr>
          <w:rStyle w:val="Rimandonotaapidipagina"/>
          <w:rFonts w:ascii="Garamond" w:hAnsi="Garamond"/>
          <w:sz w:val="24"/>
          <w:szCs w:val="24"/>
        </w:rPr>
        <w:footnoteReference w:id="47"/>
      </w:r>
      <w:r w:rsidRPr="00405153">
        <w:rPr>
          <w:rFonts w:ascii="Garamond" w:hAnsi="Garamond"/>
          <w:sz w:val="24"/>
          <w:szCs w:val="24"/>
        </w:rPr>
        <w:t xml:space="preserve">, - il suo iter di approvazione (incluso il dibattito politico sviluppatosi attorno ad </w:t>
      </w:r>
      <w:r w:rsidRPr="00405153">
        <w:rPr>
          <w:rFonts w:ascii="Garamond" w:hAnsi="Garamond"/>
          <w:sz w:val="24"/>
          <w:szCs w:val="24"/>
        </w:rPr>
        <w:lastRenderedPageBreak/>
        <w:t xml:space="preserve">esso ed i soggetti coinvolti nella sua valutazione) è stato sensibilmente diverso da quello italiano. In particolare, sul piano della tecnica di normazione, il </w:t>
      </w:r>
      <w:r w:rsidRPr="00405153">
        <w:rPr>
          <w:rFonts w:ascii="Garamond" w:hAnsi="Garamond"/>
          <w:i/>
          <w:sz w:val="24"/>
          <w:szCs w:val="24"/>
        </w:rPr>
        <w:t xml:space="preserve">passe </w:t>
      </w:r>
      <w:proofErr w:type="spellStart"/>
      <w:r w:rsidRPr="00405153">
        <w:rPr>
          <w:rFonts w:ascii="Garamond" w:hAnsi="Garamond"/>
          <w:i/>
          <w:sz w:val="24"/>
          <w:szCs w:val="24"/>
        </w:rPr>
        <w:t>sanitaire</w:t>
      </w:r>
      <w:proofErr w:type="spellEnd"/>
      <w:r w:rsidRPr="00405153">
        <w:rPr>
          <w:rFonts w:ascii="Garamond" w:hAnsi="Garamond"/>
          <w:sz w:val="24"/>
          <w:szCs w:val="24"/>
        </w:rPr>
        <w:t xml:space="preserve"> è stato introdotto a livello nazionale dal Parlamento transalpino con la </w:t>
      </w:r>
      <w:proofErr w:type="spellStart"/>
      <w:r w:rsidRPr="00405153">
        <w:rPr>
          <w:rFonts w:ascii="Garamond" w:hAnsi="Garamond"/>
          <w:i/>
          <w:sz w:val="24"/>
          <w:szCs w:val="24"/>
        </w:rPr>
        <w:t>loi</w:t>
      </w:r>
      <w:proofErr w:type="spellEnd"/>
      <w:r w:rsidRPr="00405153">
        <w:rPr>
          <w:rFonts w:ascii="Garamond" w:hAnsi="Garamond"/>
          <w:i/>
          <w:sz w:val="24"/>
          <w:szCs w:val="24"/>
        </w:rPr>
        <w:t xml:space="preserve"> n. </w:t>
      </w:r>
      <w:r w:rsidRPr="00405153">
        <w:rPr>
          <w:rFonts w:ascii="Garamond" w:hAnsi="Garamond"/>
          <w:bCs/>
          <w:i/>
          <w:sz w:val="24"/>
          <w:szCs w:val="24"/>
        </w:rPr>
        <w:t xml:space="preserve">2021-689 </w:t>
      </w:r>
      <w:proofErr w:type="spellStart"/>
      <w:r w:rsidRPr="00405153">
        <w:rPr>
          <w:rFonts w:ascii="Garamond" w:hAnsi="Garamond"/>
          <w:bCs/>
          <w:i/>
          <w:sz w:val="24"/>
          <w:szCs w:val="24"/>
        </w:rPr>
        <w:t>du</w:t>
      </w:r>
      <w:proofErr w:type="spellEnd"/>
      <w:r w:rsidRPr="00405153">
        <w:rPr>
          <w:rFonts w:ascii="Garamond" w:hAnsi="Garamond"/>
          <w:bCs/>
          <w:i/>
          <w:sz w:val="24"/>
          <w:szCs w:val="24"/>
        </w:rPr>
        <w:t xml:space="preserve"> 31 mai 2021 relative à la </w:t>
      </w:r>
      <w:proofErr w:type="spellStart"/>
      <w:r w:rsidRPr="00405153">
        <w:rPr>
          <w:rFonts w:ascii="Garamond" w:hAnsi="Garamond"/>
          <w:bCs/>
          <w:i/>
          <w:sz w:val="24"/>
          <w:szCs w:val="24"/>
        </w:rPr>
        <w:t>gestion</w:t>
      </w:r>
      <w:proofErr w:type="spellEnd"/>
      <w:r w:rsidRPr="00405153">
        <w:rPr>
          <w:rFonts w:ascii="Garamond" w:hAnsi="Garamond"/>
          <w:bCs/>
          <w:i/>
          <w:sz w:val="24"/>
          <w:szCs w:val="24"/>
        </w:rPr>
        <w:t xml:space="preserve"> de la </w:t>
      </w:r>
      <w:proofErr w:type="spellStart"/>
      <w:r w:rsidRPr="00405153">
        <w:rPr>
          <w:rFonts w:ascii="Garamond" w:hAnsi="Garamond"/>
          <w:bCs/>
          <w:i/>
          <w:sz w:val="24"/>
          <w:szCs w:val="24"/>
        </w:rPr>
        <w:t>sortie</w:t>
      </w:r>
      <w:proofErr w:type="spellEnd"/>
      <w:r w:rsidRPr="00405153">
        <w:rPr>
          <w:rFonts w:ascii="Garamond" w:hAnsi="Garamond"/>
          <w:bCs/>
          <w:i/>
          <w:sz w:val="24"/>
          <w:szCs w:val="24"/>
        </w:rPr>
        <w:t xml:space="preserve"> de </w:t>
      </w:r>
      <w:proofErr w:type="spellStart"/>
      <w:r w:rsidRPr="00405153">
        <w:rPr>
          <w:rFonts w:ascii="Garamond" w:hAnsi="Garamond"/>
          <w:bCs/>
          <w:i/>
          <w:sz w:val="24"/>
          <w:szCs w:val="24"/>
        </w:rPr>
        <w:t>crise</w:t>
      </w:r>
      <w:proofErr w:type="spellEnd"/>
      <w:r w:rsidRPr="00405153">
        <w:rPr>
          <w:rFonts w:ascii="Garamond" w:hAnsi="Garamond"/>
          <w:bCs/>
          <w:i/>
          <w:sz w:val="24"/>
          <w:szCs w:val="24"/>
        </w:rPr>
        <w:t xml:space="preserve"> </w:t>
      </w:r>
      <w:proofErr w:type="spellStart"/>
      <w:r w:rsidRPr="00405153">
        <w:rPr>
          <w:rFonts w:ascii="Garamond" w:hAnsi="Garamond"/>
          <w:bCs/>
          <w:i/>
          <w:sz w:val="24"/>
          <w:szCs w:val="24"/>
        </w:rPr>
        <w:t>sanitaire</w:t>
      </w:r>
      <w:proofErr w:type="spellEnd"/>
      <w:r w:rsidRPr="00405153">
        <w:rPr>
          <w:rFonts w:ascii="Garamond" w:hAnsi="Garamond"/>
          <w:bCs/>
          <w:sz w:val="24"/>
          <w:szCs w:val="24"/>
        </w:rPr>
        <w:t xml:space="preserve">, sintomo di maggiore </w:t>
      </w:r>
      <w:r w:rsidR="00BF3C18">
        <w:rPr>
          <w:rFonts w:ascii="Garamond" w:hAnsi="Garamond"/>
          <w:bCs/>
          <w:sz w:val="24"/>
          <w:szCs w:val="24"/>
        </w:rPr>
        <w:t>“</w:t>
      </w:r>
      <w:r w:rsidRPr="00405153">
        <w:rPr>
          <w:rFonts w:ascii="Garamond" w:hAnsi="Garamond"/>
          <w:bCs/>
          <w:sz w:val="24"/>
          <w:szCs w:val="24"/>
        </w:rPr>
        <w:t>legittimazione</w:t>
      </w:r>
      <w:r w:rsidR="00BF3C18">
        <w:rPr>
          <w:rFonts w:ascii="Garamond" w:hAnsi="Garamond"/>
          <w:bCs/>
          <w:sz w:val="24"/>
          <w:szCs w:val="24"/>
        </w:rPr>
        <w:t>”</w:t>
      </w:r>
      <w:r w:rsidRPr="00405153">
        <w:rPr>
          <w:rFonts w:ascii="Garamond" w:hAnsi="Garamond"/>
          <w:bCs/>
          <w:sz w:val="24"/>
          <w:szCs w:val="24"/>
        </w:rPr>
        <w:t>, trasparenza e controllo sullo stesso, mentre, invece, in Italia tale strumento è stato introdotto dall’esecutivo attraverso il decreto legge n. 52/2021</w:t>
      </w:r>
      <w:r w:rsidRPr="00405153">
        <w:rPr>
          <w:rStyle w:val="Rimandonotaapidipagina"/>
          <w:rFonts w:ascii="Garamond" w:hAnsi="Garamond"/>
          <w:bCs/>
          <w:sz w:val="24"/>
          <w:szCs w:val="24"/>
        </w:rPr>
        <w:footnoteReference w:id="48"/>
      </w:r>
      <w:r w:rsidRPr="00405153">
        <w:rPr>
          <w:rFonts w:ascii="Garamond" w:hAnsi="Garamond"/>
          <w:bCs/>
          <w:sz w:val="24"/>
          <w:szCs w:val="24"/>
        </w:rPr>
        <w:t xml:space="preserve">, successivamente convertito in legge. </w:t>
      </w:r>
      <w:r w:rsidR="0082373F">
        <w:rPr>
          <w:rFonts w:ascii="Garamond" w:hAnsi="Garamond"/>
          <w:bCs/>
          <w:sz w:val="24"/>
          <w:szCs w:val="24"/>
        </w:rPr>
        <w:tab/>
      </w:r>
      <w:r w:rsidR="0082373F">
        <w:rPr>
          <w:rFonts w:ascii="Garamond" w:hAnsi="Garamond"/>
          <w:bCs/>
          <w:sz w:val="24"/>
          <w:szCs w:val="24"/>
        </w:rPr>
        <w:tab/>
      </w:r>
      <w:r w:rsidRPr="00405153">
        <w:rPr>
          <w:rFonts w:ascii="Garamond" w:hAnsi="Garamond"/>
          <w:bCs/>
          <w:sz w:val="24"/>
          <w:szCs w:val="24"/>
        </w:rPr>
        <w:t xml:space="preserve">In particolare, per ciò che interessa la presente ricerca, l’art. 1 della </w:t>
      </w:r>
      <w:proofErr w:type="spellStart"/>
      <w:r w:rsidRPr="00405153">
        <w:rPr>
          <w:rFonts w:ascii="Garamond" w:hAnsi="Garamond"/>
          <w:bCs/>
          <w:i/>
          <w:sz w:val="24"/>
          <w:szCs w:val="24"/>
        </w:rPr>
        <w:t>loi</w:t>
      </w:r>
      <w:proofErr w:type="spellEnd"/>
      <w:r w:rsidRPr="00405153">
        <w:rPr>
          <w:rFonts w:ascii="Garamond" w:hAnsi="Garamond"/>
          <w:bCs/>
          <w:sz w:val="24"/>
          <w:szCs w:val="24"/>
        </w:rPr>
        <w:t xml:space="preserve"> francese attribuiva al primo ministro la discrezionalità di estendere ulteriormente con decreto (previa consultazione del Ministro della salute) l’utilizzo del </w:t>
      </w:r>
      <w:r w:rsidRPr="00405153">
        <w:rPr>
          <w:rFonts w:ascii="Garamond" w:hAnsi="Garamond"/>
          <w:bCs/>
          <w:i/>
          <w:sz w:val="24"/>
          <w:szCs w:val="24"/>
        </w:rPr>
        <w:t>green pass</w:t>
      </w:r>
      <w:r w:rsidRPr="00405153">
        <w:rPr>
          <w:rFonts w:ascii="Garamond" w:hAnsi="Garamond"/>
          <w:bCs/>
          <w:sz w:val="24"/>
          <w:szCs w:val="24"/>
        </w:rPr>
        <w:t xml:space="preserve"> per l’accesso ad ulteriori luoghi ed eventi, se ritenuto necessario </w:t>
      </w:r>
      <w:r w:rsidR="006228D4" w:rsidRPr="006228D4">
        <w:rPr>
          <w:rFonts w:ascii="Garamond" w:hAnsi="Garamond"/>
          <w:bCs/>
          <w:sz w:val="24"/>
          <w:szCs w:val="24"/>
        </w:rPr>
        <w:t>«</w:t>
      </w:r>
      <w:proofErr w:type="spellStart"/>
      <w:r w:rsidRPr="00405153">
        <w:rPr>
          <w:rFonts w:ascii="Garamond" w:hAnsi="Garamond"/>
          <w:bCs/>
          <w:i/>
          <w:sz w:val="24"/>
          <w:szCs w:val="24"/>
        </w:rPr>
        <w:t>dans</w:t>
      </w:r>
      <w:proofErr w:type="spellEnd"/>
      <w:r w:rsidRPr="00405153">
        <w:rPr>
          <w:rFonts w:ascii="Garamond" w:hAnsi="Garamond"/>
          <w:bCs/>
          <w:i/>
          <w:sz w:val="24"/>
          <w:szCs w:val="24"/>
        </w:rPr>
        <w:t xml:space="preserve"> l'</w:t>
      </w:r>
      <w:proofErr w:type="spellStart"/>
      <w:r w:rsidRPr="00405153">
        <w:rPr>
          <w:rFonts w:ascii="Garamond" w:hAnsi="Garamond"/>
          <w:bCs/>
          <w:i/>
          <w:sz w:val="24"/>
          <w:szCs w:val="24"/>
        </w:rPr>
        <w:t>intérêt</w:t>
      </w:r>
      <w:proofErr w:type="spellEnd"/>
      <w:r w:rsidRPr="00405153">
        <w:rPr>
          <w:rFonts w:ascii="Garamond" w:hAnsi="Garamond"/>
          <w:bCs/>
          <w:i/>
          <w:sz w:val="24"/>
          <w:szCs w:val="24"/>
        </w:rPr>
        <w:t xml:space="preserve"> de la santé </w:t>
      </w:r>
      <w:proofErr w:type="spellStart"/>
      <w:r w:rsidRPr="00405153">
        <w:rPr>
          <w:rFonts w:ascii="Garamond" w:hAnsi="Garamond"/>
          <w:bCs/>
          <w:i/>
          <w:sz w:val="24"/>
          <w:szCs w:val="24"/>
        </w:rPr>
        <w:t>publique</w:t>
      </w:r>
      <w:proofErr w:type="spellEnd"/>
      <w:r w:rsidRPr="00405153">
        <w:rPr>
          <w:rFonts w:ascii="Garamond" w:hAnsi="Garamond"/>
          <w:bCs/>
          <w:i/>
          <w:sz w:val="24"/>
          <w:szCs w:val="24"/>
        </w:rPr>
        <w:t xml:space="preserve"> et </w:t>
      </w:r>
      <w:proofErr w:type="spellStart"/>
      <w:r w:rsidRPr="00405153">
        <w:rPr>
          <w:rFonts w:ascii="Garamond" w:hAnsi="Garamond"/>
          <w:bCs/>
          <w:i/>
          <w:sz w:val="24"/>
          <w:szCs w:val="24"/>
        </w:rPr>
        <w:t>aux</w:t>
      </w:r>
      <w:proofErr w:type="spellEnd"/>
      <w:r w:rsidRPr="00405153">
        <w:rPr>
          <w:rFonts w:ascii="Garamond" w:hAnsi="Garamond"/>
          <w:bCs/>
          <w:i/>
          <w:sz w:val="24"/>
          <w:szCs w:val="24"/>
        </w:rPr>
        <w:t xml:space="preserve"> </w:t>
      </w:r>
      <w:proofErr w:type="spellStart"/>
      <w:r w:rsidRPr="00405153">
        <w:rPr>
          <w:rFonts w:ascii="Garamond" w:hAnsi="Garamond"/>
          <w:bCs/>
          <w:i/>
          <w:sz w:val="24"/>
          <w:szCs w:val="24"/>
        </w:rPr>
        <w:t>seules</w:t>
      </w:r>
      <w:proofErr w:type="spellEnd"/>
      <w:r w:rsidRPr="00405153">
        <w:rPr>
          <w:rFonts w:ascii="Garamond" w:hAnsi="Garamond"/>
          <w:bCs/>
          <w:i/>
          <w:sz w:val="24"/>
          <w:szCs w:val="24"/>
        </w:rPr>
        <w:t xml:space="preserve"> </w:t>
      </w:r>
      <w:proofErr w:type="spellStart"/>
      <w:r w:rsidRPr="00405153">
        <w:rPr>
          <w:rFonts w:ascii="Garamond" w:hAnsi="Garamond"/>
          <w:bCs/>
          <w:i/>
          <w:sz w:val="24"/>
          <w:szCs w:val="24"/>
        </w:rPr>
        <w:t>fins</w:t>
      </w:r>
      <w:proofErr w:type="spellEnd"/>
      <w:r w:rsidRPr="00405153">
        <w:rPr>
          <w:rFonts w:ascii="Garamond" w:hAnsi="Garamond"/>
          <w:bCs/>
          <w:i/>
          <w:sz w:val="24"/>
          <w:szCs w:val="24"/>
        </w:rPr>
        <w:t xml:space="preserve"> de </w:t>
      </w:r>
      <w:proofErr w:type="spellStart"/>
      <w:r w:rsidRPr="00405153">
        <w:rPr>
          <w:rFonts w:ascii="Garamond" w:hAnsi="Garamond"/>
          <w:bCs/>
          <w:i/>
          <w:sz w:val="24"/>
          <w:szCs w:val="24"/>
        </w:rPr>
        <w:t>lutter</w:t>
      </w:r>
      <w:proofErr w:type="spellEnd"/>
      <w:r w:rsidRPr="00405153">
        <w:rPr>
          <w:rFonts w:ascii="Garamond" w:hAnsi="Garamond"/>
          <w:bCs/>
          <w:i/>
          <w:sz w:val="24"/>
          <w:szCs w:val="24"/>
        </w:rPr>
        <w:t xml:space="preserve"> contre la </w:t>
      </w:r>
      <w:proofErr w:type="spellStart"/>
      <w:r w:rsidRPr="00405153">
        <w:rPr>
          <w:rFonts w:ascii="Garamond" w:hAnsi="Garamond"/>
          <w:bCs/>
          <w:i/>
          <w:sz w:val="24"/>
          <w:szCs w:val="24"/>
        </w:rPr>
        <w:t>propagation</w:t>
      </w:r>
      <w:proofErr w:type="spellEnd"/>
      <w:r w:rsidRPr="00405153">
        <w:rPr>
          <w:rFonts w:ascii="Garamond" w:hAnsi="Garamond"/>
          <w:bCs/>
          <w:i/>
          <w:sz w:val="24"/>
          <w:szCs w:val="24"/>
        </w:rPr>
        <w:t xml:space="preserve"> de l'</w:t>
      </w:r>
      <w:proofErr w:type="spellStart"/>
      <w:r w:rsidRPr="00405153">
        <w:rPr>
          <w:rFonts w:ascii="Garamond" w:hAnsi="Garamond"/>
          <w:bCs/>
          <w:i/>
          <w:sz w:val="24"/>
          <w:szCs w:val="24"/>
        </w:rPr>
        <w:t>épidémie</w:t>
      </w:r>
      <w:proofErr w:type="spellEnd"/>
      <w:r w:rsidRPr="00405153">
        <w:rPr>
          <w:rFonts w:ascii="Garamond" w:hAnsi="Garamond"/>
          <w:bCs/>
          <w:i/>
          <w:sz w:val="24"/>
          <w:szCs w:val="24"/>
        </w:rPr>
        <w:t xml:space="preserve"> de covid-19</w:t>
      </w:r>
      <w:r w:rsidR="006228D4" w:rsidRPr="006228D4">
        <w:rPr>
          <w:rFonts w:ascii="Garamond" w:hAnsi="Garamond"/>
          <w:bCs/>
          <w:sz w:val="24"/>
          <w:szCs w:val="24"/>
        </w:rPr>
        <w:t>».</w:t>
      </w:r>
    </w:p>
    <w:p w14:paraId="1D40F173" w14:textId="6C2E0EA9" w:rsidR="0061721E" w:rsidRDefault="0082373F" w:rsidP="0061721E">
      <w:pPr>
        <w:spacing w:after="0" w:line="240" w:lineRule="auto"/>
        <w:ind w:firstLine="567"/>
        <w:jc w:val="both"/>
        <w:rPr>
          <w:rFonts w:ascii="Garamond" w:hAnsi="Garamond"/>
          <w:bCs/>
          <w:sz w:val="24"/>
          <w:szCs w:val="24"/>
        </w:rPr>
      </w:pPr>
      <w:r>
        <w:rPr>
          <w:rFonts w:ascii="Garamond" w:hAnsi="Garamond"/>
          <w:bCs/>
          <w:sz w:val="24"/>
          <w:szCs w:val="24"/>
        </w:rPr>
        <w:t xml:space="preserve">  </w:t>
      </w:r>
      <w:r w:rsidR="00656A51" w:rsidRPr="00405153">
        <w:rPr>
          <w:rFonts w:ascii="Garamond" w:hAnsi="Garamond"/>
          <w:bCs/>
          <w:sz w:val="24"/>
          <w:szCs w:val="24"/>
        </w:rPr>
        <w:t xml:space="preserve">In considerazione del prevedibile impatto </w:t>
      </w:r>
      <w:proofErr w:type="gramStart"/>
      <w:r w:rsidR="00656A51" w:rsidRPr="00405153">
        <w:rPr>
          <w:rFonts w:ascii="Garamond" w:hAnsi="Garamond"/>
          <w:bCs/>
          <w:sz w:val="24"/>
          <w:szCs w:val="24"/>
        </w:rPr>
        <w:t xml:space="preserve">del </w:t>
      </w:r>
      <w:r w:rsidR="00656A51" w:rsidRPr="00405153">
        <w:rPr>
          <w:rFonts w:ascii="Garamond" w:hAnsi="Garamond"/>
          <w:bCs/>
          <w:i/>
          <w:sz w:val="24"/>
          <w:szCs w:val="24"/>
        </w:rPr>
        <w:t>passe</w:t>
      </w:r>
      <w:proofErr w:type="gramEnd"/>
      <w:r w:rsidR="00656A51" w:rsidRPr="00405153">
        <w:rPr>
          <w:rFonts w:ascii="Garamond" w:hAnsi="Garamond"/>
          <w:bCs/>
          <w:i/>
          <w:sz w:val="24"/>
          <w:szCs w:val="24"/>
        </w:rPr>
        <w:t xml:space="preserve"> </w:t>
      </w:r>
      <w:proofErr w:type="spellStart"/>
      <w:r w:rsidR="00656A51" w:rsidRPr="00405153">
        <w:rPr>
          <w:rFonts w:ascii="Garamond" w:hAnsi="Garamond"/>
          <w:bCs/>
          <w:i/>
          <w:sz w:val="24"/>
          <w:szCs w:val="24"/>
        </w:rPr>
        <w:t>sanitaire</w:t>
      </w:r>
      <w:proofErr w:type="spellEnd"/>
      <w:r w:rsidR="00656A51" w:rsidRPr="00405153">
        <w:rPr>
          <w:rFonts w:ascii="Garamond" w:hAnsi="Garamond"/>
          <w:bCs/>
          <w:sz w:val="24"/>
          <w:szCs w:val="24"/>
        </w:rPr>
        <w:t xml:space="preserve"> su libertà e diritti fondamentali (soprattutto sul fronte del lavoro) ed in seguito all’ampliamento della sua sfera di applicazione originaria con </w:t>
      </w:r>
      <w:proofErr w:type="spellStart"/>
      <w:r w:rsidR="00656A51" w:rsidRPr="00405153">
        <w:rPr>
          <w:rFonts w:ascii="Garamond" w:hAnsi="Garamond"/>
          <w:bCs/>
          <w:i/>
          <w:sz w:val="24"/>
          <w:szCs w:val="24"/>
        </w:rPr>
        <w:t>loi</w:t>
      </w:r>
      <w:proofErr w:type="spellEnd"/>
      <w:r w:rsidR="00656A51" w:rsidRPr="00405153">
        <w:rPr>
          <w:rFonts w:ascii="Garamond" w:hAnsi="Garamond"/>
          <w:bCs/>
          <w:i/>
          <w:sz w:val="24"/>
          <w:szCs w:val="24"/>
        </w:rPr>
        <w:t xml:space="preserve"> n° 2021-1040 </w:t>
      </w:r>
      <w:proofErr w:type="spellStart"/>
      <w:r w:rsidR="00656A51" w:rsidRPr="00405153">
        <w:rPr>
          <w:rFonts w:ascii="Garamond" w:hAnsi="Garamond"/>
          <w:bCs/>
          <w:i/>
          <w:sz w:val="24"/>
          <w:szCs w:val="24"/>
        </w:rPr>
        <w:t>du</w:t>
      </w:r>
      <w:proofErr w:type="spellEnd"/>
      <w:r w:rsidR="00656A51" w:rsidRPr="00405153">
        <w:rPr>
          <w:rFonts w:ascii="Garamond" w:hAnsi="Garamond"/>
          <w:bCs/>
          <w:i/>
          <w:sz w:val="24"/>
          <w:szCs w:val="24"/>
        </w:rPr>
        <w:t xml:space="preserve"> 5 </w:t>
      </w:r>
      <w:proofErr w:type="spellStart"/>
      <w:r w:rsidR="00656A51" w:rsidRPr="00405153">
        <w:rPr>
          <w:rFonts w:ascii="Garamond" w:hAnsi="Garamond"/>
          <w:bCs/>
          <w:i/>
          <w:sz w:val="24"/>
          <w:szCs w:val="24"/>
        </w:rPr>
        <w:t>août</w:t>
      </w:r>
      <w:proofErr w:type="spellEnd"/>
      <w:r w:rsidR="00656A51" w:rsidRPr="00405153">
        <w:rPr>
          <w:rFonts w:ascii="Garamond" w:hAnsi="Garamond"/>
          <w:bCs/>
          <w:i/>
          <w:sz w:val="24"/>
          <w:szCs w:val="24"/>
        </w:rPr>
        <w:t xml:space="preserve"> 2021</w:t>
      </w:r>
      <w:r w:rsidR="00656A51" w:rsidRPr="00405153">
        <w:rPr>
          <w:rFonts w:ascii="Garamond" w:hAnsi="Garamond"/>
          <w:bCs/>
          <w:sz w:val="24"/>
          <w:szCs w:val="24"/>
        </w:rPr>
        <w:t xml:space="preserve">, ci si è dunque chiesti se una tale attuazione della predetta certificazione fosse conforme o meno alle disposizioni costituzionali e al diritto internazionale. </w:t>
      </w:r>
    </w:p>
    <w:p w14:paraId="5B411E23" w14:textId="77777777" w:rsidR="00970264" w:rsidRDefault="0082373F" w:rsidP="00970264">
      <w:pPr>
        <w:spacing w:after="0" w:line="240" w:lineRule="auto"/>
        <w:ind w:firstLine="567"/>
        <w:jc w:val="both"/>
        <w:rPr>
          <w:rFonts w:ascii="Garamond" w:hAnsi="Garamond"/>
          <w:bCs/>
          <w:sz w:val="24"/>
          <w:szCs w:val="24"/>
        </w:rPr>
      </w:pPr>
      <w:r>
        <w:rPr>
          <w:rFonts w:ascii="Garamond" w:hAnsi="Garamond"/>
          <w:bCs/>
          <w:sz w:val="24"/>
          <w:szCs w:val="24"/>
        </w:rPr>
        <w:t xml:space="preserve"> </w:t>
      </w:r>
      <w:r w:rsidR="00656A51" w:rsidRPr="00405153">
        <w:rPr>
          <w:rFonts w:ascii="Garamond" w:hAnsi="Garamond"/>
          <w:bCs/>
          <w:sz w:val="24"/>
          <w:szCs w:val="24"/>
        </w:rPr>
        <w:t xml:space="preserve">Su questa vicenda è intervenuto nuovamente il </w:t>
      </w:r>
      <w:proofErr w:type="spellStart"/>
      <w:r w:rsidR="00656A51" w:rsidRPr="00405153">
        <w:rPr>
          <w:rFonts w:ascii="Garamond" w:hAnsi="Garamond"/>
          <w:bCs/>
          <w:i/>
          <w:sz w:val="24"/>
          <w:szCs w:val="24"/>
        </w:rPr>
        <w:t>Conseil</w:t>
      </w:r>
      <w:proofErr w:type="spellEnd"/>
      <w:r w:rsidR="00656A51" w:rsidRPr="00405153">
        <w:rPr>
          <w:rFonts w:ascii="Garamond" w:hAnsi="Garamond"/>
          <w:bCs/>
          <w:i/>
          <w:sz w:val="24"/>
          <w:szCs w:val="24"/>
        </w:rPr>
        <w:t xml:space="preserve"> </w:t>
      </w:r>
      <w:proofErr w:type="spellStart"/>
      <w:r w:rsidR="00656A51" w:rsidRPr="00405153">
        <w:rPr>
          <w:rFonts w:ascii="Garamond" w:hAnsi="Garamond"/>
          <w:bCs/>
          <w:i/>
          <w:sz w:val="24"/>
          <w:szCs w:val="24"/>
        </w:rPr>
        <w:t>Constitutionnel</w:t>
      </w:r>
      <w:proofErr w:type="spellEnd"/>
      <w:r w:rsidR="00656A51" w:rsidRPr="00405153">
        <w:rPr>
          <w:rStyle w:val="Rimandonotaapidipagina"/>
          <w:rFonts w:ascii="Garamond" w:hAnsi="Garamond"/>
          <w:bCs/>
          <w:sz w:val="24"/>
          <w:szCs w:val="24"/>
        </w:rPr>
        <w:footnoteReference w:id="49"/>
      </w:r>
      <w:r w:rsidR="00656A51" w:rsidRPr="00405153">
        <w:rPr>
          <w:rFonts w:ascii="Garamond" w:hAnsi="Garamond"/>
          <w:bCs/>
          <w:sz w:val="24"/>
          <w:szCs w:val="24"/>
        </w:rPr>
        <w:t xml:space="preserve">, (adito per mezzo delle quattro </w:t>
      </w:r>
      <w:proofErr w:type="spellStart"/>
      <w:r w:rsidR="00656A51" w:rsidRPr="00405153">
        <w:rPr>
          <w:rFonts w:ascii="Garamond" w:hAnsi="Garamond"/>
          <w:bCs/>
          <w:i/>
          <w:sz w:val="24"/>
          <w:szCs w:val="24"/>
        </w:rPr>
        <w:t>saisines</w:t>
      </w:r>
      <w:proofErr w:type="spellEnd"/>
      <w:r w:rsidR="00656A51" w:rsidRPr="00405153">
        <w:rPr>
          <w:rFonts w:ascii="Garamond" w:hAnsi="Garamond"/>
          <w:bCs/>
          <w:sz w:val="24"/>
          <w:szCs w:val="24"/>
        </w:rPr>
        <w:t xml:space="preserve"> </w:t>
      </w:r>
      <w:proofErr w:type="spellStart"/>
      <w:r w:rsidR="00656A51" w:rsidRPr="00405153">
        <w:rPr>
          <w:rFonts w:ascii="Garamond" w:hAnsi="Garamond"/>
          <w:bCs/>
          <w:i/>
          <w:sz w:val="24"/>
          <w:szCs w:val="24"/>
        </w:rPr>
        <w:t>parlamentaire</w:t>
      </w:r>
      <w:proofErr w:type="spellEnd"/>
      <w:r w:rsidR="00656A51" w:rsidRPr="00405153">
        <w:rPr>
          <w:rFonts w:ascii="Garamond" w:hAnsi="Garamond"/>
          <w:bCs/>
          <w:sz w:val="24"/>
          <w:szCs w:val="24"/>
        </w:rPr>
        <w:t xml:space="preserve"> proposte da alcuni gruppi parlamentari</w:t>
      </w:r>
      <w:r w:rsidR="00656A51" w:rsidRPr="00405153">
        <w:rPr>
          <w:rStyle w:val="Rimandonotaapidipagina"/>
          <w:rFonts w:ascii="Garamond" w:hAnsi="Garamond"/>
          <w:bCs/>
          <w:sz w:val="24"/>
          <w:szCs w:val="24"/>
        </w:rPr>
        <w:footnoteReference w:id="50"/>
      </w:r>
      <w:r w:rsidR="00656A51" w:rsidRPr="00405153">
        <w:rPr>
          <w:rFonts w:ascii="Garamond" w:hAnsi="Garamond"/>
          <w:bCs/>
          <w:sz w:val="24"/>
          <w:szCs w:val="24"/>
        </w:rPr>
        <w:t xml:space="preserve">) dichiarando la costituzionalità della normativa nella parte in cui autorizza il Primo Ministro a subordinare l’accesso del pubblico a ulteriori luoghi, strutture ed eventi (che presentassero un elevato rischio di contagio e prevedibili assembramenti) all’esibizione del </w:t>
      </w:r>
      <w:r w:rsidR="00656A51" w:rsidRPr="00405153">
        <w:rPr>
          <w:rFonts w:ascii="Garamond" w:hAnsi="Garamond"/>
          <w:bCs/>
          <w:i/>
          <w:sz w:val="24"/>
          <w:szCs w:val="24"/>
        </w:rPr>
        <w:t xml:space="preserve">passe </w:t>
      </w:r>
      <w:proofErr w:type="spellStart"/>
      <w:r w:rsidR="00656A51" w:rsidRPr="00405153">
        <w:rPr>
          <w:rFonts w:ascii="Garamond" w:hAnsi="Garamond"/>
          <w:bCs/>
          <w:i/>
          <w:sz w:val="24"/>
          <w:szCs w:val="24"/>
        </w:rPr>
        <w:t>sanitaire</w:t>
      </w:r>
      <w:proofErr w:type="spellEnd"/>
      <w:r w:rsidR="00656A51" w:rsidRPr="00405153">
        <w:rPr>
          <w:rFonts w:ascii="Garamond" w:hAnsi="Garamond"/>
          <w:bCs/>
          <w:sz w:val="24"/>
          <w:szCs w:val="24"/>
        </w:rPr>
        <w:t xml:space="preserve">, in quanto misura conforme alla tutela del valore costituzionale della salute. La motivazione dei giudici francesi è da rintracciare in cinque punti essenziali. </w:t>
      </w:r>
    </w:p>
    <w:p w14:paraId="75C5D66C" w14:textId="3CDBE731" w:rsidR="0061721E" w:rsidRDefault="00656A51" w:rsidP="00970264">
      <w:pPr>
        <w:spacing w:after="0" w:line="240" w:lineRule="auto"/>
        <w:ind w:firstLine="567"/>
        <w:jc w:val="both"/>
        <w:rPr>
          <w:rFonts w:ascii="Garamond" w:hAnsi="Garamond"/>
          <w:bCs/>
          <w:sz w:val="24"/>
          <w:szCs w:val="24"/>
        </w:rPr>
      </w:pPr>
      <w:r w:rsidRPr="00405153">
        <w:rPr>
          <w:rFonts w:ascii="Garamond" w:hAnsi="Garamond"/>
          <w:bCs/>
          <w:sz w:val="24"/>
          <w:szCs w:val="24"/>
        </w:rPr>
        <w:lastRenderedPageBreak/>
        <w:t>In primo luogo, la Corte</w:t>
      </w:r>
      <w:r w:rsidRPr="00405153">
        <w:rPr>
          <w:rStyle w:val="Rimandonotaapidipagina"/>
          <w:rFonts w:ascii="Garamond" w:hAnsi="Garamond"/>
          <w:bCs/>
          <w:sz w:val="24"/>
          <w:szCs w:val="24"/>
        </w:rPr>
        <w:footnoteReference w:id="51"/>
      </w:r>
      <w:r w:rsidRPr="00405153">
        <w:rPr>
          <w:rFonts w:ascii="Garamond" w:hAnsi="Garamond"/>
          <w:bCs/>
          <w:sz w:val="24"/>
          <w:szCs w:val="24"/>
        </w:rPr>
        <w:t xml:space="preserve"> ha ribadito che è compito del legislatore (valutare e) prevedere misure volte a contrastare la diffusione del virus, come quella in esame, e che spetta allo stesso conciliare la tutela della salute pubblica con gli altri diritti e libertà di rango costituzionale. </w:t>
      </w:r>
      <w:r w:rsidRPr="00405153">
        <w:rPr>
          <w:rFonts w:ascii="Garamond" w:hAnsi="Garamond"/>
          <w:bCs/>
          <w:sz w:val="24"/>
          <w:szCs w:val="24"/>
        </w:rPr>
        <w:tab/>
      </w:r>
      <w:r w:rsidRPr="00405153">
        <w:rPr>
          <w:rFonts w:ascii="Garamond" w:hAnsi="Garamond"/>
          <w:bCs/>
          <w:sz w:val="24"/>
          <w:szCs w:val="24"/>
        </w:rPr>
        <w:tab/>
      </w:r>
      <w:r w:rsidRPr="00405153">
        <w:rPr>
          <w:rFonts w:ascii="Garamond" w:hAnsi="Garamond"/>
          <w:bCs/>
          <w:sz w:val="24"/>
          <w:szCs w:val="24"/>
        </w:rPr>
        <w:tab/>
      </w:r>
      <w:r w:rsidRPr="00405153">
        <w:rPr>
          <w:rFonts w:ascii="Garamond" w:hAnsi="Garamond"/>
          <w:bCs/>
          <w:sz w:val="24"/>
          <w:szCs w:val="24"/>
        </w:rPr>
        <w:tab/>
      </w:r>
      <w:r w:rsidRPr="00405153">
        <w:rPr>
          <w:rFonts w:ascii="Garamond" w:hAnsi="Garamond"/>
          <w:bCs/>
          <w:sz w:val="24"/>
          <w:szCs w:val="24"/>
        </w:rPr>
        <w:tab/>
      </w:r>
    </w:p>
    <w:p w14:paraId="5261FC2B" w14:textId="77777777" w:rsidR="0061721E" w:rsidRDefault="00656A51" w:rsidP="0061721E">
      <w:pPr>
        <w:spacing w:after="0" w:line="240" w:lineRule="auto"/>
        <w:ind w:firstLine="567"/>
        <w:jc w:val="both"/>
        <w:rPr>
          <w:rFonts w:ascii="Garamond" w:hAnsi="Garamond"/>
          <w:bCs/>
          <w:sz w:val="24"/>
          <w:szCs w:val="24"/>
        </w:rPr>
      </w:pPr>
      <w:r w:rsidRPr="00405153">
        <w:rPr>
          <w:rFonts w:ascii="Garamond" w:hAnsi="Garamond"/>
          <w:bCs/>
          <w:sz w:val="24"/>
          <w:szCs w:val="24"/>
        </w:rPr>
        <w:t xml:space="preserve">In secondo luogo, il </w:t>
      </w:r>
      <w:r>
        <w:rPr>
          <w:rFonts w:ascii="Garamond" w:hAnsi="Garamond"/>
          <w:bCs/>
          <w:sz w:val="24"/>
          <w:szCs w:val="24"/>
        </w:rPr>
        <w:t xml:space="preserve">predetto organo giurisdizionale </w:t>
      </w:r>
      <w:r w:rsidRPr="00405153">
        <w:rPr>
          <w:rStyle w:val="Rimandonotaapidipagina"/>
          <w:rFonts w:ascii="Garamond" w:hAnsi="Garamond"/>
          <w:bCs/>
          <w:sz w:val="24"/>
          <w:szCs w:val="24"/>
        </w:rPr>
        <w:footnoteReference w:id="52"/>
      </w:r>
      <w:r w:rsidRPr="00405153">
        <w:rPr>
          <w:rFonts w:ascii="Garamond" w:hAnsi="Garamond"/>
          <w:bCs/>
          <w:sz w:val="24"/>
          <w:szCs w:val="24"/>
        </w:rPr>
        <w:t xml:space="preserve"> ha evidenziato che, allo stato attuale delle conoscenze scientifiche (dal 5 agosto al 15 novembre 2021) il rischio di trasmissione del virus fosse fortemente ridotto tra i titolari del </w:t>
      </w:r>
      <w:r w:rsidRPr="00405153">
        <w:rPr>
          <w:rFonts w:ascii="Garamond" w:hAnsi="Garamond"/>
          <w:bCs/>
          <w:i/>
          <w:sz w:val="24"/>
          <w:szCs w:val="24"/>
        </w:rPr>
        <w:t>green pass</w:t>
      </w:r>
      <w:r w:rsidRPr="00405153">
        <w:rPr>
          <w:rFonts w:ascii="Garamond" w:hAnsi="Garamond"/>
          <w:bCs/>
          <w:sz w:val="24"/>
          <w:szCs w:val="24"/>
        </w:rPr>
        <w:t xml:space="preserve"> (vaccinati, persone risultate negative al test del Covid-19 o guarite) ritenuto, anche che, nell’ambito del contrasto alla propagazione di nuove varianti più contagiose, l’adozione di queste misure fosse funzionale a tutelare il valore costituzionale della salute pubblica. </w:t>
      </w:r>
      <w:r w:rsidRPr="00405153">
        <w:rPr>
          <w:rFonts w:ascii="Garamond" w:hAnsi="Garamond"/>
          <w:bCs/>
          <w:sz w:val="24"/>
          <w:szCs w:val="24"/>
        </w:rPr>
        <w:tab/>
      </w:r>
      <w:r>
        <w:rPr>
          <w:rFonts w:ascii="Garamond" w:hAnsi="Garamond"/>
          <w:bCs/>
          <w:sz w:val="24"/>
          <w:szCs w:val="24"/>
        </w:rPr>
        <w:tab/>
      </w:r>
    </w:p>
    <w:p w14:paraId="5E88DEC0" w14:textId="77777777" w:rsidR="0061721E" w:rsidRDefault="00656A51" w:rsidP="0061721E">
      <w:pPr>
        <w:spacing w:after="0" w:line="240" w:lineRule="auto"/>
        <w:ind w:firstLine="567"/>
        <w:jc w:val="both"/>
        <w:rPr>
          <w:rFonts w:ascii="Garamond" w:hAnsi="Garamond"/>
          <w:bCs/>
          <w:sz w:val="24"/>
          <w:szCs w:val="24"/>
        </w:rPr>
      </w:pPr>
      <w:r w:rsidRPr="00405153">
        <w:rPr>
          <w:rFonts w:ascii="Garamond" w:hAnsi="Garamond"/>
          <w:bCs/>
          <w:sz w:val="24"/>
          <w:szCs w:val="24"/>
        </w:rPr>
        <w:t xml:space="preserve">In terzo luogo, il </w:t>
      </w:r>
      <w:proofErr w:type="spellStart"/>
      <w:r w:rsidRPr="00405153">
        <w:rPr>
          <w:rFonts w:ascii="Garamond" w:hAnsi="Garamond"/>
          <w:bCs/>
          <w:i/>
          <w:sz w:val="24"/>
          <w:szCs w:val="24"/>
        </w:rPr>
        <w:t>Conseil</w:t>
      </w:r>
      <w:proofErr w:type="spellEnd"/>
      <w:r w:rsidRPr="00405153">
        <w:rPr>
          <w:rStyle w:val="Rimandonotaapidipagina"/>
          <w:rFonts w:ascii="Garamond" w:hAnsi="Garamond"/>
          <w:bCs/>
          <w:sz w:val="24"/>
          <w:szCs w:val="24"/>
        </w:rPr>
        <w:footnoteReference w:id="53"/>
      </w:r>
      <w:r w:rsidRPr="00405153">
        <w:rPr>
          <w:rFonts w:ascii="Garamond" w:hAnsi="Garamond"/>
          <w:bCs/>
          <w:i/>
          <w:sz w:val="24"/>
          <w:szCs w:val="24"/>
        </w:rPr>
        <w:t xml:space="preserve"> </w:t>
      </w:r>
      <w:r w:rsidRPr="00405153">
        <w:rPr>
          <w:rFonts w:ascii="Garamond" w:hAnsi="Garamond"/>
          <w:bCs/>
          <w:sz w:val="24"/>
          <w:szCs w:val="24"/>
        </w:rPr>
        <w:t>ha osservato che l’applicazione di queste misure restrittive fosse limitata ai soli luoghi, attività ed eventi che riunissero un cospicuo numero di partecipanti e che, in ragione della loro natura presentassero in modo evidente un aumentato rischio di diffusione del contagio.</w:t>
      </w:r>
      <w:r w:rsidRPr="00405153">
        <w:rPr>
          <w:rFonts w:ascii="Garamond" w:hAnsi="Garamond"/>
          <w:bCs/>
          <w:sz w:val="24"/>
          <w:szCs w:val="24"/>
        </w:rPr>
        <w:tab/>
      </w:r>
      <w:r w:rsidRPr="00405153">
        <w:rPr>
          <w:rFonts w:ascii="Garamond" w:hAnsi="Garamond"/>
          <w:bCs/>
          <w:sz w:val="24"/>
          <w:szCs w:val="24"/>
        </w:rPr>
        <w:tab/>
        <w:t xml:space="preserve"> </w:t>
      </w:r>
    </w:p>
    <w:p w14:paraId="60C91F90" w14:textId="77777777" w:rsidR="00D36836" w:rsidRDefault="00656A51" w:rsidP="0061721E">
      <w:pPr>
        <w:spacing w:after="0" w:line="240" w:lineRule="auto"/>
        <w:ind w:firstLine="567"/>
        <w:jc w:val="both"/>
        <w:rPr>
          <w:rFonts w:ascii="Garamond" w:hAnsi="Garamond"/>
          <w:bCs/>
          <w:sz w:val="24"/>
          <w:szCs w:val="24"/>
        </w:rPr>
      </w:pPr>
      <w:r w:rsidRPr="00405153">
        <w:rPr>
          <w:rFonts w:ascii="Garamond" w:hAnsi="Garamond"/>
          <w:bCs/>
          <w:sz w:val="24"/>
          <w:szCs w:val="24"/>
        </w:rPr>
        <w:t>In quarto luogo, si è anche</w:t>
      </w:r>
      <w:r>
        <w:rPr>
          <w:rFonts w:ascii="Garamond" w:hAnsi="Garamond"/>
          <w:bCs/>
          <w:sz w:val="24"/>
          <w:szCs w:val="24"/>
        </w:rPr>
        <w:t xml:space="preserve"> r</w:t>
      </w:r>
      <w:r w:rsidRPr="00405153">
        <w:rPr>
          <w:rFonts w:ascii="Garamond" w:hAnsi="Garamond"/>
          <w:bCs/>
          <w:sz w:val="24"/>
          <w:szCs w:val="24"/>
        </w:rPr>
        <w:t>ilevato che tali misure non istituissero alcun obbligo vaccinale, trattandosi di alternative</w:t>
      </w:r>
      <w:r>
        <w:rPr>
          <w:rStyle w:val="Rimandonotaapidipagina"/>
          <w:rFonts w:ascii="Garamond" w:hAnsi="Garamond"/>
          <w:bCs/>
          <w:sz w:val="24"/>
          <w:szCs w:val="24"/>
        </w:rPr>
        <w:footnoteReference w:id="54"/>
      </w:r>
      <w:r w:rsidRPr="00405153">
        <w:rPr>
          <w:rFonts w:ascii="Garamond" w:hAnsi="Garamond"/>
          <w:bCs/>
          <w:sz w:val="24"/>
          <w:szCs w:val="24"/>
        </w:rPr>
        <w:t xml:space="preserve"> tra di loro liberamente percorribili (vaccino, test negativo, guarigione) e comunque, assistite da adeguate garanzie nei confronti dei soggetti che presentassero comprovate controindicazioni mediche verso il vaccino o comunque impossibilitate a munirsi per ragioni obiettive del </w:t>
      </w:r>
      <w:r w:rsidRPr="00405153">
        <w:rPr>
          <w:rFonts w:ascii="Garamond" w:hAnsi="Garamond"/>
          <w:bCs/>
          <w:i/>
          <w:sz w:val="24"/>
          <w:szCs w:val="24"/>
        </w:rPr>
        <w:t>passe</w:t>
      </w:r>
      <w:r w:rsidRPr="00405153">
        <w:rPr>
          <w:rFonts w:ascii="Garamond" w:hAnsi="Garamond"/>
          <w:bCs/>
          <w:sz w:val="24"/>
          <w:szCs w:val="24"/>
        </w:rPr>
        <w:t xml:space="preserve">, escludendo comunque l’obbligatorietà del </w:t>
      </w:r>
      <w:r w:rsidRPr="00405153">
        <w:rPr>
          <w:rFonts w:ascii="Garamond" w:hAnsi="Garamond"/>
          <w:bCs/>
          <w:i/>
          <w:sz w:val="24"/>
          <w:szCs w:val="24"/>
        </w:rPr>
        <w:t>passe</w:t>
      </w:r>
      <w:r w:rsidRPr="00405153">
        <w:rPr>
          <w:rFonts w:ascii="Garamond" w:hAnsi="Garamond"/>
          <w:bCs/>
          <w:sz w:val="24"/>
          <w:szCs w:val="24"/>
        </w:rPr>
        <w:t xml:space="preserve"> per l’accesso ai servizi e beni essenziali. Occorre poi rilevare, che anche per la Corte europea dei diritti umani, il fatto di prevedere eccezioni a tali misure nazionali obbligatorie costituirebbe </w:t>
      </w:r>
      <w:r w:rsidR="00BC2FE6" w:rsidRPr="00BC2FE6">
        <w:rPr>
          <w:rFonts w:ascii="Garamond" w:hAnsi="Garamond"/>
          <w:bCs/>
          <w:sz w:val="24"/>
          <w:szCs w:val="24"/>
        </w:rPr>
        <w:t>«</w:t>
      </w:r>
      <w:r w:rsidRPr="00405153">
        <w:rPr>
          <w:rFonts w:ascii="Garamond" w:hAnsi="Garamond"/>
          <w:bCs/>
          <w:i/>
          <w:sz w:val="24"/>
          <w:szCs w:val="24"/>
        </w:rPr>
        <w:t xml:space="preserve">a </w:t>
      </w:r>
      <w:proofErr w:type="spellStart"/>
      <w:r w:rsidRPr="00405153">
        <w:rPr>
          <w:rFonts w:ascii="Garamond" w:hAnsi="Garamond"/>
          <w:bCs/>
          <w:i/>
          <w:sz w:val="24"/>
          <w:szCs w:val="24"/>
        </w:rPr>
        <w:t>very</w:t>
      </w:r>
      <w:proofErr w:type="spellEnd"/>
      <w:r w:rsidRPr="00405153">
        <w:rPr>
          <w:rFonts w:ascii="Garamond" w:hAnsi="Garamond"/>
          <w:bCs/>
          <w:i/>
          <w:sz w:val="24"/>
          <w:szCs w:val="24"/>
        </w:rPr>
        <w:t xml:space="preserve"> </w:t>
      </w:r>
      <w:proofErr w:type="spellStart"/>
      <w:r w:rsidRPr="00405153">
        <w:rPr>
          <w:rFonts w:ascii="Garamond" w:hAnsi="Garamond"/>
          <w:bCs/>
          <w:i/>
          <w:sz w:val="24"/>
          <w:szCs w:val="24"/>
        </w:rPr>
        <w:t>important</w:t>
      </w:r>
      <w:proofErr w:type="spellEnd"/>
      <w:r w:rsidRPr="00405153">
        <w:rPr>
          <w:rFonts w:ascii="Garamond" w:hAnsi="Garamond"/>
          <w:bCs/>
          <w:i/>
          <w:sz w:val="24"/>
          <w:szCs w:val="24"/>
        </w:rPr>
        <w:t xml:space="preserve"> </w:t>
      </w:r>
      <w:proofErr w:type="spellStart"/>
      <w:r w:rsidRPr="00405153">
        <w:rPr>
          <w:rFonts w:ascii="Garamond" w:hAnsi="Garamond"/>
          <w:bCs/>
          <w:i/>
          <w:sz w:val="24"/>
          <w:szCs w:val="24"/>
        </w:rPr>
        <w:t>argument</w:t>
      </w:r>
      <w:proofErr w:type="spellEnd"/>
      <w:r w:rsidRPr="00405153">
        <w:rPr>
          <w:rFonts w:ascii="Garamond" w:hAnsi="Garamond"/>
          <w:bCs/>
          <w:i/>
          <w:sz w:val="24"/>
          <w:szCs w:val="24"/>
        </w:rPr>
        <w:t xml:space="preserve"> in </w:t>
      </w:r>
      <w:proofErr w:type="spellStart"/>
      <w:r w:rsidRPr="00405153">
        <w:rPr>
          <w:rFonts w:ascii="Garamond" w:hAnsi="Garamond"/>
          <w:bCs/>
          <w:i/>
          <w:sz w:val="24"/>
          <w:szCs w:val="24"/>
        </w:rPr>
        <w:t>favour</w:t>
      </w:r>
      <w:proofErr w:type="spellEnd"/>
      <w:r w:rsidRPr="00405153">
        <w:rPr>
          <w:rFonts w:ascii="Garamond" w:hAnsi="Garamond"/>
          <w:bCs/>
          <w:i/>
          <w:sz w:val="24"/>
          <w:szCs w:val="24"/>
        </w:rPr>
        <w:t xml:space="preserve"> of the </w:t>
      </w:r>
      <w:proofErr w:type="spellStart"/>
      <w:r w:rsidRPr="00405153">
        <w:rPr>
          <w:rFonts w:ascii="Garamond" w:hAnsi="Garamond"/>
          <w:bCs/>
          <w:i/>
          <w:sz w:val="24"/>
          <w:szCs w:val="24"/>
        </w:rPr>
        <w:t>compatibility</w:t>
      </w:r>
      <w:proofErr w:type="spellEnd"/>
      <w:r w:rsidRPr="00405153">
        <w:rPr>
          <w:rFonts w:ascii="Garamond" w:hAnsi="Garamond"/>
          <w:bCs/>
          <w:i/>
          <w:sz w:val="24"/>
          <w:szCs w:val="24"/>
        </w:rPr>
        <w:t xml:space="preserve"> of the </w:t>
      </w:r>
      <w:proofErr w:type="spellStart"/>
      <w:r w:rsidRPr="00405153">
        <w:rPr>
          <w:rFonts w:ascii="Garamond" w:hAnsi="Garamond"/>
          <w:bCs/>
          <w:i/>
          <w:sz w:val="24"/>
          <w:szCs w:val="24"/>
        </w:rPr>
        <w:t>obligation</w:t>
      </w:r>
      <w:proofErr w:type="spellEnd"/>
      <w:r w:rsidRPr="00405153">
        <w:rPr>
          <w:rFonts w:ascii="Garamond" w:hAnsi="Garamond"/>
          <w:bCs/>
          <w:i/>
          <w:sz w:val="24"/>
          <w:szCs w:val="24"/>
        </w:rPr>
        <w:t xml:space="preserve"> in </w:t>
      </w:r>
      <w:proofErr w:type="spellStart"/>
      <w:r w:rsidRPr="00405153">
        <w:rPr>
          <w:rFonts w:ascii="Garamond" w:hAnsi="Garamond"/>
          <w:bCs/>
          <w:i/>
          <w:sz w:val="24"/>
          <w:szCs w:val="24"/>
        </w:rPr>
        <w:t>question</w:t>
      </w:r>
      <w:proofErr w:type="spellEnd"/>
      <w:r w:rsidRPr="00405153">
        <w:rPr>
          <w:rFonts w:ascii="Garamond" w:hAnsi="Garamond"/>
          <w:bCs/>
          <w:i/>
          <w:sz w:val="24"/>
          <w:szCs w:val="24"/>
        </w:rPr>
        <w:t xml:space="preserve"> with the Convention</w:t>
      </w:r>
      <w:r w:rsidR="00BC2FE6" w:rsidRPr="00BC2FE6">
        <w:rPr>
          <w:rFonts w:ascii="Garamond" w:hAnsi="Garamond"/>
          <w:bCs/>
          <w:sz w:val="24"/>
          <w:szCs w:val="24"/>
        </w:rPr>
        <w:t>»</w:t>
      </w:r>
      <w:r w:rsidRPr="00BC2FE6">
        <w:rPr>
          <w:rStyle w:val="Rimandonotaapidipagina"/>
          <w:rFonts w:ascii="Garamond" w:hAnsi="Garamond"/>
          <w:bCs/>
          <w:sz w:val="24"/>
          <w:szCs w:val="24"/>
        </w:rPr>
        <w:footnoteReference w:id="55"/>
      </w:r>
      <w:r w:rsidRPr="00BC2FE6">
        <w:rPr>
          <w:rFonts w:ascii="Garamond" w:hAnsi="Garamond"/>
          <w:bCs/>
          <w:sz w:val="24"/>
          <w:szCs w:val="24"/>
        </w:rPr>
        <w:t>.</w:t>
      </w:r>
      <w:r>
        <w:rPr>
          <w:rFonts w:ascii="Garamond" w:hAnsi="Garamond"/>
          <w:bCs/>
          <w:sz w:val="24"/>
          <w:szCs w:val="24"/>
        </w:rPr>
        <w:t xml:space="preserve"> Inoltre, i giudici di Strasburgo, nella specie – richiamando il </w:t>
      </w:r>
      <w:r w:rsidRPr="00783249">
        <w:rPr>
          <w:rFonts w:ascii="Garamond" w:hAnsi="Garamond"/>
          <w:bCs/>
          <w:i/>
          <w:sz w:val="24"/>
          <w:szCs w:val="24"/>
        </w:rPr>
        <w:t xml:space="preserve">General </w:t>
      </w:r>
      <w:proofErr w:type="spellStart"/>
      <w:r w:rsidRPr="00783249">
        <w:rPr>
          <w:rFonts w:ascii="Garamond" w:hAnsi="Garamond"/>
          <w:bCs/>
          <w:i/>
          <w:sz w:val="24"/>
          <w:szCs w:val="24"/>
        </w:rPr>
        <w:t>comment</w:t>
      </w:r>
      <w:proofErr w:type="spellEnd"/>
      <w:r w:rsidRPr="0044702C">
        <w:rPr>
          <w:rFonts w:ascii="Garamond" w:hAnsi="Garamond"/>
          <w:bCs/>
          <w:sz w:val="24"/>
          <w:szCs w:val="24"/>
        </w:rPr>
        <w:t xml:space="preserve"> </w:t>
      </w:r>
      <w:r w:rsidRPr="0044702C">
        <w:rPr>
          <w:rFonts w:ascii="Garamond" w:hAnsi="Garamond"/>
          <w:bCs/>
          <w:sz w:val="24"/>
          <w:szCs w:val="24"/>
        </w:rPr>
        <w:lastRenderedPageBreak/>
        <w:t xml:space="preserve">No. 15 </w:t>
      </w:r>
      <w:r>
        <w:rPr>
          <w:rFonts w:ascii="Garamond" w:hAnsi="Garamond"/>
          <w:bCs/>
          <w:sz w:val="24"/>
          <w:szCs w:val="24"/>
        </w:rPr>
        <w:t xml:space="preserve">del Comitato ONU per i diritti del fanciullo - hanno evidenziato, in virtù dell’art. 24 della Convenzione di New York sui diritti del fanciullo del 1989, l’obbligo degli Stati di tutelare la salute collettiva dei minori </w:t>
      </w:r>
      <w:r w:rsidR="00783249" w:rsidRPr="00783249">
        <w:rPr>
          <w:rFonts w:ascii="Garamond" w:hAnsi="Garamond"/>
          <w:bCs/>
          <w:sz w:val="24"/>
          <w:szCs w:val="24"/>
        </w:rPr>
        <w:t>«</w:t>
      </w:r>
      <w:proofErr w:type="spellStart"/>
      <w:r w:rsidRPr="0002004A">
        <w:rPr>
          <w:rFonts w:ascii="Garamond" w:hAnsi="Garamond"/>
          <w:bCs/>
          <w:i/>
          <w:sz w:val="24"/>
          <w:szCs w:val="24"/>
        </w:rPr>
        <w:t>against</w:t>
      </w:r>
      <w:proofErr w:type="spellEnd"/>
      <w:r w:rsidRPr="0002004A">
        <w:rPr>
          <w:rFonts w:ascii="Garamond" w:hAnsi="Garamond"/>
          <w:bCs/>
          <w:i/>
          <w:sz w:val="24"/>
          <w:szCs w:val="24"/>
        </w:rPr>
        <w:t xml:space="preserve"> the common </w:t>
      </w:r>
      <w:proofErr w:type="spellStart"/>
      <w:r w:rsidRPr="0002004A">
        <w:rPr>
          <w:rFonts w:ascii="Garamond" w:hAnsi="Garamond"/>
          <w:bCs/>
          <w:i/>
          <w:sz w:val="24"/>
          <w:szCs w:val="24"/>
        </w:rPr>
        <w:t>childhood</w:t>
      </w:r>
      <w:proofErr w:type="spellEnd"/>
      <w:r w:rsidRPr="0002004A">
        <w:rPr>
          <w:rFonts w:ascii="Garamond" w:hAnsi="Garamond"/>
          <w:bCs/>
          <w:i/>
          <w:sz w:val="24"/>
          <w:szCs w:val="24"/>
        </w:rPr>
        <w:t xml:space="preserve"> </w:t>
      </w:r>
      <w:proofErr w:type="spellStart"/>
      <w:r w:rsidRPr="0002004A">
        <w:rPr>
          <w:rFonts w:ascii="Garamond" w:hAnsi="Garamond"/>
          <w:bCs/>
          <w:i/>
          <w:sz w:val="24"/>
          <w:szCs w:val="24"/>
        </w:rPr>
        <w:t>diseases</w:t>
      </w:r>
      <w:proofErr w:type="spellEnd"/>
      <w:r w:rsidR="00783249" w:rsidRPr="00783249">
        <w:rPr>
          <w:rFonts w:ascii="Garamond" w:hAnsi="Garamond"/>
          <w:bCs/>
          <w:sz w:val="24"/>
          <w:szCs w:val="24"/>
        </w:rPr>
        <w:t>»</w:t>
      </w:r>
      <w:r w:rsidRPr="00783249">
        <w:rPr>
          <w:rStyle w:val="Rimandonotaapidipagina"/>
          <w:rFonts w:ascii="Garamond" w:hAnsi="Garamond"/>
          <w:bCs/>
          <w:sz w:val="24"/>
          <w:szCs w:val="24"/>
        </w:rPr>
        <w:footnoteReference w:id="56"/>
      </w:r>
      <w:r>
        <w:rPr>
          <w:rFonts w:ascii="Garamond" w:hAnsi="Garamond"/>
          <w:bCs/>
          <w:sz w:val="24"/>
          <w:szCs w:val="24"/>
        </w:rPr>
        <w:t>, attraverso misure</w:t>
      </w:r>
      <w:r w:rsidRPr="0002004A">
        <w:rPr>
          <w:rFonts w:ascii="Garamond" w:hAnsi="Garamond"/>
          <w:bCs/>
          <w:sz w:val="24"/>
          <w:szCs w:val="24"/>
        </w:rPr>
        <w:t xml:space="preserve"> </w:t>
      </w:r>
      <w:r>
        <w:rPr>
          <w:rFonts w:ascii="Garamond" w:hAnsi="Garamond"/>
          <w:bCs/>
          <w:sz w:val="24"/>
          <w:szCs w:val="24"/>
        </w:rPr>
        <w:t xml:space="preserve">strumentali a garantire la </w:t>
      </w:r>
      <w:r w:rsidR="00783249" w:rsidRPr="00783249">
        <w:rPr>
          <w:rFonts w:ascii="Garamond" w:hAnsi="Garamond"/>
          <w:bCs/>
          <w:sz w:val="24"/>
          <w:szCs w:val="24"/>
        </w:rPr>
        <w:t>«</w:t>
      </w:r>
      <w:proofErr w:type="spellStart"/>
      <w:r w:rsidRPr="0002004A">
        <w:rPr>
          <w:rFonts w:ascii="Garamond" w:hAnsi="Garamond"/>
          <w:bCs/>
          <w:i/>
          <w:sz w:val="24"/>
          <w:szCs w:val="24"/>
        </w:rPr>
        <w:t>universal</w:t>
      </w:r>
      <w:proofErr w:type="spellEnd"/>
      <w:r w:rsidRPr="0002004A">
        <w:rPr>
          <w:rFonts w:ascii="Garamond" w:hAnsi="Garamond"/>
          <w:bCs/>
          <w:i/>
          <w:sz w:val="24"/>
          <w:szCs w:val="24"/>
        </w:rPr>
        <w:t xml:space="preserve"> </w:t>
      </w:r>
      <w:proofErr w:type="spellStart"/>
      <w:r w:rsidRPr="0002004A">
        <w:rPr>
          <w:rFonts w:ascii="Garamond" w:hAnsi="Garamond"/>
          <w:bCs/>
          <w:i/>
          <w:sz w:val="24"/>
          <w:szCs w:val="24"/>
        </w:rPr>
        <w:t>availability</w:t>
      </w:r>
      <w:proofErr w:type="spellEnd"/>
      <w:r w:rsidRPr="0002004A">
        <w:rPr>
          <w:rFonts w:ascii="Garamond" w:hAnsi="Garamond"/>
          <w:bCs/>
          <w:i/>
          <w:sz w:val="24"/>
          <w:szCs w:val="24"/>
        </w:rPr>
        <w:t xml:space="preserve"> of </w:t>
      </w:r>
      <w:proofErr w:type="spellStart"/>
      <w:r w:rsidRPr="0002004A">
        <w:rPr>
          <w:rFonts w:ascii="Garamond" w:hAnsi="Garamond"/>
          <w:bCs/>
          <w:i/>
          <w:sz w:val="24"/>
          <w:szCs w:val="24"/>
        </w:rPr>
        <w:t>immunisation</w:t>
      </w:r>
      <w:proofErr w:type="spellEnd"/>
      <w:r w:rsidR="00783249" w:rsidRPr="00783249">
        <w:rPr>
          <w:rFonts w:ascii="Garamond" w:hAnsi="Garamond"/>
          <w:bCs/>
          <w:sz w:val="24"/>
          <w:szCs w:val="24"/>
        </w:rPr>
        <w:t>»</w:t>
      </w:r>
      <w:r w:rsidRPr="00783249">
        <w:rPr>
          <w:rStyle w:val="Rimandonotaapidipagina"/>
          <w:rFonts w:ascii="Garamond" w:hAnsi="Garamond"/>
          <w:bCs/>
          <w:sz w:val="24"/>
          <w:szCs w:val="24"/>
        </w:rPr>
        <w:footnoteReference w:id="57"/>
      </w:r>
      <w:r w:rsidRPr="00783249">
        <w:rPr>
          <w:rFonts w:ascii="Garamond" w:hAnsi="Garamond"/>
          <w:bCs/>
          <w:sz w:val="24"/>
          <w:szCs w:val="24"/>
        </w:rPr>
        <w:t>.</w:t>
      </w:r>
    </w:p>
    <w:p w14:paraId="10878B6F" w14:textId="77777777" w:rsidR="00D36836" w:rsidRDefault="00656A51" w:rsidP="0061721E">
      <w:pPr>
        <w:spacing w:after="0" w:line="240" w:lineRule="auto"/>
        <w:ind w:firstLine="567"/>
        <w:jc w:val="both"/>
        <w:rPr>
          <w:rFonts w:ascii="Garamond" w:hAnsi="Garamond"/>
          <w:sz w:val="24"/>
          <w:szCs w:val="24"/>
        </w:rPr>
      </w:pPr>
      <w:r w:rsidRPr="00405153">
        <w:rPr>
          <w:rFonts w:ascii="Garamond" w:hAnsi="Garamond"/>
          <w:bCs/>
          <w:sz w:val="24"/>
          <w:szCs w:val="24"/>
        </w:rPr>
        <w:t xml:space="preserve">Infine, sebbene, da un lato, la Corte francese avesse confermato in linea di principio che le misure relative all’estensione </w:t>
      </w:r>
      <w:proofErr w:type="gramStart"/>
      <w:r w:rsidRPr="00405153">
        <w:rPr>
          <w:rFonts w:ascii="Garamond" w:hAnsi="Garamond"/>
          <w:bCs/>
          <w:sz w:val="24"/>
          <w:szCs w:val="24"/>
        </w:rPr>
        <w:t xml:space="preserve">del </w:t>
      </w:r>
      <w:r w:rsidRPr="00405153">
        <w:rPr>
          <w:rFonts w:ascii="Garamond" w:hAnsi="Garamond"/>
          <w:bCs/>
          <w:i/>
          <w:sz w:val="24"/>
          <w:szCs w:val="24"/>
        </w:rPr>
        <w:t>passe</w:t>
      </w:r>
      <w:proofErr w:type="gramEnd"/>
      <w:r w:rsidRPr="00405153">
        <w:rPr>
          <w:rFonts w:ascii="Garamond" w:hAnsi="Garamond"/>
          <w:bCs/>
          <w:i/>
          <w:sz w:val="24"/>
          <w:szCs w:val="24"/>
        </w:rPr>
        <w:t xml:space="preserve"> </w:t>
      </w:r>
      <w:proofErr w:type="spellStart"/>
      <w:r w:rsidRPr="00405153">
        <w:rPr>
          <w:rFonts w:ascii="Garamond" w:hAnsi="Garamond"/>
          <w:bCs/>
          <w:i/>
          <w:sz w:val="24"/>
          <w:szCs w:val="24"/>
        </w:rPr>
        <w:t>sanitaire</w:t>
      </w:r>
      <w:proofErr w:type="spellEnd"/>
      <w:r w:rsidRPr="00405153">
        <w:rPr>
          <w:rFonts w:ascii="Garamond" w:hAnsi="Garamond"/>
          <w:sz w:val="24"/>
          <w:szCs w:val="24"/>
        </w:rPr>
        <w:t xml:space="preserve"> fossero egualmente applicate a tutti, proporzionate e necessarie; dall’altro ha dichiarato incostituzionale l’art. 1 della legge in esame nella parte in cui classificava la mancata presentazione della certificazione tra le cause di risoluzione anticipata dei soli contratti di lavoro a tempo determinato o di missione. </w:t>
      </w:r>
      <w:r w:rsidR="00124FA5">
        <w:rPr>
          <w:rFonts w:ascii="Garamond" w:hAnsi="Garamond"/>
          <w:sz w:val="24"/>
          <w:szCs w:val="24"/>
        </w:rPr>
        <w:t xml:space="preserve">                   </w:t>
      </w:r>
      <w:r w:rsidRPr="00405153">
        <w:rPr>
          <w:rFonts w:ascii="Garamond" w:hAnsi="Garamond"/>
          <w:sz w:val="24"/>
          <w:szCs w:val="24"/>
        </w:rPr>
        <w:t xml:space="preserve">Ciò ha conseguentemente ingenerato una disparità di trattamento di palmare evidenza nei confronti delle altre categorie di lavoratori, per scopi estranei alla tutela della salute pubblica, ponendosi in contrasto con il principio di uguaglianza. </w:t>
      </w:r>
    </w:p>
    <w:p w14:paraId="64BDC53A" w14:textId="77777777" w:rsidR="00D36836"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Nel complesso, però, la Corte costituzionale francese ha ritenuto che il </w:t>
      </w:r>
      <w:r w:rsidRPr="00405153">
        <w:rPr>
          <w:rFonts w:ascii="Garamond" w:hAnsi="Garamond"/>
          <w:i/>
          <w:sz w:val="24"/>
          <w:szCs w:val="24"/>
        </w:rPr>
        <w:t xml:space="preserve">passe </w:t>
      </w:r>
      <w:proofErr w:type="spellStart"/>
      <w:r w:rsidRPr="00405153">
        <w:rPr>
          <w:rFonts w:ascii="Garamond" w:hAnsi="Garamond"/>
          <w:i/>
          <w:sz w:val="24"/>
          <w:szCs w:val="24"/>
        </w:rPr>
        <w:t>sanitaire</w:t>
      </w:r>
      <w:proofErr w:type="spellEnd"/>
      <w:r w:rsidRPr="00405153">
        <w:rPr>
          <w:rFonts w:ascii="Garamond" w:hAnsi="Garamond"/>
          <w:sz w:val="24"/>
          <w:szCs w:val="24"/>
        </w:rPr>
        <w:t xml:space="preserve"> realizzasse un raccordo equilibrato tra tutela della salute collettiva (che rappresenta il </w:t>
      </w:r>
      <w:proofErr w:type="spellStart"/>
      <w:r w:rsidRPr="00405153">
        <w:rPr>
          <w:rFonts w:ascii="Garamond" w:hAnsi="Garamond"/>
          <w:i/>
          <w:sz w:val="24"/>
          <w:szCs w:val="24"/>
        </w:rPr>
        <w:t>leitmotif</w:t>
      </w:r>
      <w:proofErr w:type="spellEnd"/>
      <w:r w:rsidRPr="00405153">
        <w:rPr>
          <w:rFonts w:ascii="Garamond" w:hAnsi="Garamond"/>
          <w:sz w:val="24"/>
          <w:szCs w:val="24"/>
        </w:rPr>
        <w:t xml:space="preserve"> della decisione e che va letto quale </w:t>
      </w:r>
      <w:r w:rsidR="00974FAC" w:rsidRPr="00974FAC">
        <w:rPr>
          <w:rFonts w:ascii="Garamond" w:hAnsi="Garamond"/>
          <w:sz w:val="24"/>
          <w:szCs w:val="24"/>
        </w:rPr>
        <w:t>«</w:t>
      </w:r>
      <w:r w:rsidRPr="00156101">
        <w:rPr>
          <w:rFonts w:ascii="Garamond" w:hAnsi="Garamond"/>
          <w:sz w:val="24"/>
          <w:szCs w:val="24"/>
        </w:rPr>
        <w:t>principio cardinale che ammette deroghe eccezionali ai diritti e alle libertà individuali</w:t>
      </w:r>
      <w:r w:rsidR="00974FAC" w:rsidRPr="00974FAC">
        <w:rPr>
          <w:rFonts w:ascii="Garamond" w:hAnsi="Garamond"/>
          <w:sz w:val="24"/>
          <w:szCs w:val="24"/>
        </w:rPr>
        <w:t>»</w:t>
      </w:r>
      <w:r w:rsidRPr="00405153">
        <w:rPr>
          <w:rStyle w:val="Rimandonotaapidipagina"/>
          <w:rFonts w:ascii="Garamond" w:hAnsi="Garamond"/>
          <w:sz w:val="24"/>
          <w:szCs w:val="24"/>
        </w:rPr>
        <w:footnoteReference w:id="58"/>
      </w:r>
      <w:r w:rsidRPr="00405153">
        <w:rPr>
          <w:rFonts w:ascii="Garamond" w:hAnsi="Garamond"/>
          <w:sz w:val="24"/>
          <w:szCs w:val="24"/>
        </w:rPr>
        <w:t>) e libertà fondamentali, e che tale misura abbia potuto contribuire in modo efficace alla progressiva ripresa delle attività economiche e a ridimensionare l’indice di contagi, stante incida (seppur) transitoriamente</w:t>
      </w:r>
      <w:r w:rsidRPr="00405153">
        <w:rPr>
          <w:rStyle w:val="Rimandonotaapidipagina"/>
          <w:rFonts w:ascii="Garamond" w:hAnsi="Garamond"/>
          <w:sz w:val="24"/>
          <w:szCs w:val="24"/>
        </w:rPr>
        <w:footnoteReference w:id="59"/>
      </w:r>
      <w:r w:rsidRPr="00405153">
        <w:rPr>
          <w:rFonts w:ascii="Garamond" w:hAnsi="Garamond"/>
          <w:sz w:val="24"/>
          <w:szCs w:val="24"/>
        </w:rPr>
        <w:t xml:space="preserve"> su diritti e libertà fondamentali.</w:t>
      </w:r>
    </w:p>
    <w:p w14:paraId="639944C0" w14:textId="4FB16D5F" w:rsidR="00656A51" w:rsidRPr="00405153" w:rsidRDefault="00656A51" w:rsidP="0061721E">
      <w:pPr>
        <w:spacing w:after="0" w:line="240" w:lineRule="auto"/>
        <w:ind w:firstLine="567"/>
        <w:jc w:val="both"/>
        <w:rPr>
          <w:rFonts w:ascii="Garamond" w:hAnsi="Garamond"/>
          <w:bCs/>
          <w:sz w:val="24"/>
          <w:szCs w:val="24"/>
        </w:rPr>
      </w:pPr>
      <w:r w:rsidRPr="00405153">
        <w:rPr>
          <w:rFonts w:ascii="Garamond" w:hAnsi="Garamond"/>
          <w:sz w:val="24"/>
          <w:szCs w:val="24"/>
        </w:rPr>
        <w:t xml:space="preserve">La decisione della Corte, rigorosamente ispirata a canoni solidaristici e le successive restrizioni (quali gli obblighi vaccinali) prese in particolare nell’interesse imperante della salute pubblica (nell’ottica di ridurre la diffusione della variante </w:t>
      </w:r>
      <w:r w:rsidR="002E2142">
        <w:rPr>
          <w:rFonts w:ascii="Garamond" w:hAnsi="Garamond"/>
          <w:i/>
          <w:sz w:val="24"/>
          <w:szCs w:val="24"/>
        </w:rPr>
        <w:t>O</w:t>
      </w:r>
      <w:r w:rsidRPr="00405153">
        <w:rPr>
          <w:rFonts w:ascii="Garamond" w:hAnsi="Garamond"/>
          <w:i/>
          <w:sz w:val="24"/>
          <w:szCs w:val="24"/>
        </w:rPr>
        <w:t>micron</w:t>
      </w:r>
      <w:r w:rsidRPr="00405153">
        <w:rPr>
          <w:rFonts w:ascii="Garamond" w:hAnsi="Garamond"/>
          <w:sz w:val="24"/>
          <w:szCs w:val="24"/>
        </w:rPr>
        <w:t xml:space="preserve">) hanno ingenerato un aspro dissenso nell’animo dei sostenitori più convinti dei diritti e delle libertà individuali, a tal punto da indurre alcuni cittadini a </w:t>
      </w:r>
      <w:r w:rsidR="002E2142">
        <w:rPr>
          <w:rFonts w:ascii="Garamond" w:hAnsi="Garamond"/>
          <w:sz w:val="24"/>
          <w:szCs w:val="24"/>
        </w:rPr>
        <w:t>“</w:t>
      </w:r>
      <w:r w:rsidRPr="00405153">
        <w:rPr>
          <w:rFonts w:ascii="Garamond" w:hAnsi="Garamond"/>
          <w:sz w:val="24"/>
          <w:szCs w:val="24"/>
        </w:rPr>
        <w:t>sovraffollare</w:t>
      </w:r>
      <w:r w:rsidR="002E2142">
        <w:rPr>
          <w:rFonts w:ascii="Garamond" w:hAnsi="Garamond"/>
          <w:sz w:val="24"/>
          <w:szCs w:val="24"/>
        </w:rPr>
        <w:t>”</w:t>
      </w:r>
      <w:r>
        <w:rPr>
          <w:rStyle w:val="Rimandonotaapidipagina"/>
          <w:rFonts w:ascii="Garamond" w:hAnsi="Garamond"/>
          <w:sz w:val="24"/>
          <w:szCs w:val="24"/>
        </w:rPr>
        <w:footnoteReference w:id="60"/>
      </w:r>
      <w:r w:rsidRPr="00405153">
        <w:rPr>
          <w:rFonts w:ascii="Garamond" w:hAnsi="Garamond"/>
          <w:sz w:val="24"/>
          <w:szCs w:val="24"/>
        </w:rPr>
        <w:t xml:space="preserve"> la Corte europea dei diritti umani, con vari </w:t>
      </w:r>
      <w:r w:rsidRPr="00405153">
        <w:rPr>
          <w:rFonts w:ascii="Garamond" w:hAnsi="Garamond"/>
          <w:sz w:val="24"/>
          <w:szCs w:val="24"/>
        </w:rPr>
        <w:lastRenderedPageBreak/>
        <w:t xml:space="preserve">ricorsi, pronunciatasi, infine, in materia </w:t>
      </w:r>
      <w:r>
        <w:rPr>
          <w:rFonts w:ascii="Garamond" w:hAnsi="Garamond"/>
          <w:sz w:val="24"/>
          <w:szCs w:val="24"/>
        </w:rPr>
        <w:t>con una sentenza di valore particolarmente significativo.</w:t>
      </w:r>
    </w:p>
    <w:p w14:paraId="7D78052B" w14:textId="77777777" w:rsidR="00124FA5" w:rsidRPr="00405153" w:rsidRDefault="00124FA5" w:rsidP="00752DA5">
      <w:pPr>
        <w:spacing w:after="0" w:line="240" w:lineRule="auto"/>
        <w:jc w:val="both"/>
        <w:rPr>
          <w:rFonts w:ascii="Garamond" w:hAnsi="Garamond"/>
          <w:sz w:val="24"/>
          <w:szCs w:val="24"/>
        </w:rPr>
      </w:pPr>
    </w:p>
    <w:p w14:paraId="40605742" w14:textId="77777777" w:rsidR="00656A51" w:rsidRPr="00405153" w:rsidRDefault="00656A51" w:rsidP="0061721E">
      <w:pPr>
        <w:spacing w:after="0" w:line="240" w:lineRule="auto"/>
        <w:ind w:firstLine="567"/>
        <w:jc w:val="both"/>
        <w:rPr>
          <w:rFonts w:ascii="Garamond" w:hAnsi="Garamond"/>
          <w:sz w:val="24"/>
          <w:szCs w:val="24"/>
        </w:rPr>
      </w:pPr>
    </w:p>
    <w:p w14:paraId="4B004675" w14:textId="57AF749C" w:rsidR="00656A51" w:rsidRPr="00697A9A" w:rsidRDefault="00697A9A" w:rsidP="00697A9A">
      <w:pPr>
        <w:spacing w:after="0" w:line="240" w:lineRule="auto"/>
        <w:jc w:val="both"/>
        <w:rPr>
          <w:rFonts w:ascii="Garamond" w:hAnsi="Garamond"/>
          <w:i/>
          <w:sz w:val="24"/>
          <w:szCs w:val="24"/>
        </w:rPr>
      </w:pPr>
      <w:r w:rsidRPr="00FA35C7">
        <w:rPr>
          <w:rFonts w:ascii="Garamond" w:hAnsi="Garamond"/>
          <w:sz w:val="24"/>
          <w:szCs w:val="24"/>
        </w:rPr>
        <w:t>4.</w:t>
      </w:r>
      <w:r>
        <w:rPr>
          <w:rFonts w:ascii="Garamond" w:hAnsi="Garamond"/>
          <w:i/>
          <w:sz w:val="24"/>
          <w:szCs w:val="24"/>
        </w:rPr>
        <w:t xml:space="preserve"> </w:t>
      </w:r>
      <w:r w:rsidR="00656A51" w:rsidRPr="00697A9A">
        <w:rPr>
          <w:rFonts w:ascii="Garamond" w:hAnsi="Garamond"/>
          <w:i/>
          <w:sz w:val="24"/>
          <w:szCs w:val="24"/>
        </w:rPr>
        <w:t xml:space="preserve">Verso una legittimità europea </w:t>
      </w:r>
      <w:proofErr w:type="gramStart"/>
      <w:r w:rsidR="00656A51" w:rsidRPr="00697A9A">
        <w:rPr>
          <w:rFonts w:ascii="Garamond" w:hAnsi="Garamond"/>
          <w:i/>
          <w:sz w:val="24"/>
          <w:szCs w:val="24"/>
        </w:rPr>
        <w:t>del passe</w:t>
      </w:r>
      <w:proofErr w:type="gramEnd"/>
      <w:r w:rsidR="00656A51" w:rsidRPr="00697A9A">
        <w:rPr>
          <w:rFonts w:ascii="Garamond" w:hAnsi="Garamond"/>
          <w:i/>
          <w:sz w:val="24"/>
          <w:szCs w:val="24"/>
        </w:rPr>
        <w:t xml:space="preserve"> </w:t>
      </w:r>
      <w:proofErr w:type="spellStart"/>
      <w:r w:rsidR="00656A51" w:rsidRPr="00697A9A">
        <w:rPr>
          <w:rFonts w:ascii="Garamond" w:hAnsi="Garamond"/>
          <w:i/>
          <w:sz w:val="24"/>
          <w:szCs w:val="24"/>
        </w:rPr>
        <w:t>sanitaire</w:t>
      </w:r>
      <w:proofErr w:type="spellEnd"/>
      <w:r w:rsidR="00656A51" w:rsidRPr="00697A9A">
        <w:rPr>
          <w:rFonts w:ascii="Garamond" w:hAnsi="Garamond"/>
          <w:i/>
          <w:sz w:val="24"/>
          <w:szCs w:val="24"/>
        </w:rPr>
        <w:t xml:space="preserve">? Il caso </w:t>
      </w:r>
      <w:r w:rsidR="00656A51" w:rsidRPr="00156101">
        <w:rPr>
          <w:rFonts w:ascii="Garamond" w:hAnsi="Garamond"/>
          <w:sz w:val="24"/>
          <w:szCs w:val="24"/>
        </w:rPr>
        <w:t>Zambrano</w:t>
      </w:r>
      <w:r w:rsidR="00656A51" w:rsidRPr="00697A9A">
        <w:rPr>
          <w:rFonts w:ascii="Garamond" w:hAnsi="Garamond"/>
          <w:i/>
          <w:sz w:val="24"/>
          <w:szCs w:val="24"/>
        </w:rPr>
        <w:t xml:space="preserve"> c. </w:t>
      </w:r>
      <w:r w:rsidR="00656A51" w:rsidRPr="00156101">
        <w:rPr>
          <w:rFonts w:ascii="Garamond" w:hAnsi="Garamond"/>
          <w:sz w:val="24"/>
          <w:szCs w:val="24"/>
        </w:rPr>
        <w:t xml:space="preserve">Francia </w:t>
      </w:r>
      <w:r w:rsidR="00656A51" w:rsidRPr="00697A9A">
        <w:rPr>
          <w:rFonts w:ascii="Garamond" w:hAnsi="Garamond"/>
          <w:i/>
          <w:sz w:val="24"/>
          <w:szCs w:val="24"/>
        </w:rPr>
        <w:t xml:space="preserve">davanti alla Corte europea dei diritti umani alla luce della decisione </w:t>
      </w:r>
      <w:proofErr w:type="spellStart"/>
      <w:r w:rsidR="00656A51" w:rsidRPr="00156101">
        <w:rPr>
          <w:rFonts w:ascii="Garamond" w:hAnsi="Garamond"/>
          <w:sz w:val="24"/>
          <w:szCs w:val="24"/>
        </w:rPr>
        <w:t>Vavřička</w:t>
      </w:r>
      <w:proofErr w:type="spellEnd"/>
      <w:r w:rsidR="00656A51" w:rsidRPr="00156101">
        <w:rPr>
          <w:rFonts w:ascii="Garamond" w:hAnsi="Garamond"/>
          <w:sz w:val="24"/>
          <w:szCs w:val="24"/>
        </w:rPr>
        <w:t xml:space="preserve"> and Others</w:t>
      </w:r>
      <w:r w:rsidR="00656A51" w:rsidRPr="00697A9A">
        <w:rPr>
          <w:rFonts w:ascii="Garamond" w:hAnsi="Garamond"/>
          <w:i/>
          <w:sz w:val="24"/>
          <w:szCs w:val="24"/>
        </w:rPr>
        <w:t xml:space="preserve"> v </w:t>
      </w:r>
      <w:r w:rsidR="00EC6134" w:rsidRPr="00156101">
        <w:rPr>
          <w:rFonts w:ascii="Garamond" w:hAnsi="Garamond"/>
          <w:sz w:val="24"/>
          <w:szCs w:val="24"/>
        </w:rPr>
        <w:t>T</w:t>
      </w:r>
      <w:r w:rsidR="00656A51" w:rsidRPr="00156101">
        <w:rPr>
          <w:rFonts w:ascii="Garamond" w:hAnsi="Garamond"/>
          <w:sz w:val="24"/>
          <w:szCs w:val="24"/>
        </w:rPr>
        <w:t xml:space="preserve">he </w:t>
      </w:r>
      <w:proofErr w:type="spellStart"/>
      <w:r w:rsidR="00656A51" w:rsidRPr="00156101">
        <w:rPr>
          <w:rFonts w:ascii="Garamond" w:hAnsi="Garamond"/>
          <w:sz w:val="24"/>
          <w:szCs w:val="24"/>
        </w:rPr>
        <w:t>Czech</w:t>
      </w:r>
      <w:proofErr w:type="spellEnd"/>
      <w:r w:rsidR="00656A51" w:rsidRPr="00156101">
        <w:rPr>
          <w:rFonts w:ascii="Garamond" w:hAnsi="Garamond"/>
          <w:sz w:val="24"/>
          <w:szCs w:val="24"/>
        </w:rPr>
        <w:t xml:space="preserve"> Republic</w:t>
      </w:r>
    </w:p>
    <w:p w14:paraId="649BDB48" w14:textId="77777777" w:rsidR="00656A51" w:rsidRPr="007B365B" w:rsidRDefault="00656A51" w:rsidP="0061721E">
      <w:pPr>
        <w:spacing w:after="0" w:line="240" w:lineRule="auto"/>
        <w:ind w:firstLine="567"/>
        <w:jc w:val="both"/>
        <w:rPr>
          <w:rFonts w:ascii="Garamond" w:hAnsi="Garamond"/>
          <w:i/>
          <w:sz w:val="24"/>
          <w:szCs w:val="24"/>
        </w:rPr>
      </w:pPr>
    </w:p>
    <w:p w14:paraId="47DF2B41" w14:textId="77777777" w:rsidR="00697A9A" w:rsidRDefault="00697A9A" w:rsidP="0061721E">
      <w:pPr>
        <w:spacing w:after="0" w:line="240" w:lineRule="auto"/>
        <w:ind w:firstLine="567"/>
        <w:jc w:val="both"/>
        <w:rPr>
          <w:rFonts w:ascii="Garamond" w:hAnsi="Garamond"/>
          <w:sz w:val="24"/>
          <w:szCs w:val="24"/>
        </w:rPr>
      </w:pPr>
    </w:p>
    <w:p w14:paraId="6A8BC325" w14:textId="0B8DB403" w:rsidR="0061721E"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Come poc’anzi ricordato, il dissenso avverso il </w:t>
      </w:r>
      <w:r w:rsidRPr="00DF2846">
        <w:rPr>
          <w:rFonts w:ascii="Garamond" w:hAnsi="Garamond"/>
          <w:i/>
          <w:sz w:val="24"/>
          <w:szCs w:val="24"/>
        </w:rPr>
        <w:t>green pass</w:t>
      </w:r>
      <w:r w:rsidRPr="00405153">
        <w:rPr>
          <w:rFonts w:ascii="Garamond" w:hAnsi="Garamond"/>
          <w:sz w:val="24"/>
          <w:szCs w:val="24"/>
        </w:rPr>
        <w:t xml:space="preserve"> è stato espresso da un numero sempre più crescente di individui, facendo leva sulla convinzione che tale strumento introducesse un obbligo surrettizio di vaccinazione, e che operasse, peraltro, una disparità di trattamento irragionevole tra i vari cittadini, attentando così alla libertà di autodeterminazione individuale e impattando sul diritto al rispetto della vita privata e familiare ai sensi dell</w:t>
      </w:r>
      <w:r>
        <w:rPr>
          <w:rFonts w:ascii="Garamond" w:hAnsi="Garamond"/>
          <w:sz w:val="24"/>
          <w:szCs w:val="24"/>
        </w:rPr>
        <w:t>’art. 8 par. 1 della C</w:t>
      </w:r>
      <w:r w:rsidRPr="00405153">
        <w:rPr>
          <w:rFonts w:ascii="Garamond" w:hAnsi="Garamond"/>
          <w:sz w:val="24"/>
          <w:szCs w:val="24"/>
        </w:rPr>
        <w:t xml:space="preserve">EDU. </w:t>
      </w:r>
      <w:r>
        <w:rPr>
          <w:rFonts w:ascii="Garamond" w:hAnsi="Garamond"/>
          <w:sz w:val="24"/>
          <w:szCs w:val="24"/>
        </w:rPr>
        <w:t>Va, inoltre, evidenziato che la necessità mondiale di elaborare vaccini efficaci contro il Covid-19 in tempi (inevitabilmente) brevi</w:t>
      </w:r>
      <w:r>
        <w:rPr>
          <w:rStyle w:val="Rimandonotaapidipagina"/>
          <w:rFonts w:ascii="Garamond" w:hAnsi="Garamond"/>
          <w:sz w:val="24"/>
          <w:szCs w:val="24"/>
        </w:rPr>
        <w:footnoteReference w:id="61"/>
      </w:r>
      <w:r>
        <w:rPr>
          <w:rFonts w:ascii="Garamond" w:hAnsi="Garamond"/>
          <w:sz w:val="24"/>
          <w:szCs w:val="24"/>
        </w:rPr>
        <w:t xml:space="preserve">, unitamente alla difficoltà di contrastare le nuove varianti, hanno fatto sorgere interrogativi circa la sicurezza, nonché sui vari effetti (specialmente quelli a lungo termine) di tali preparati sulla salute della collettività.                       Com’è noto, si sono, infatti, sviluppate alcune correnti di pensiero caratterizzate da un senso di sfiducia (o quantomeno di </w:t>
      </w:r>
      <w:proofErr w:type="spellStart"/>
      <w:r w:rsidRPr="00711375">
        <w:rPr>
          <w:rFonts w:ascii="Garamond" w:hAnsi="Garamond"/>
          <w:i/>
          <w:sz w:val="24"/>
          <w:szCs w:val="24"/>
        </w:rPr>
        <w:t>hesitancy</w:t>
      </w:r>
      <w:proofErr w:type="spellEnd"/>
      <w:r>
        <w:rPr>
          <w:rFonts w:ascii="Garamond" w:hAnsi="Garamond"/>
          <w:sz w:val="24"/>
          <w:szCs w:val="24"/>
        </w:rPr>
        <w:t xml:space="preserve">) nei confronti dei vaccini </w:t>
      </w:r>
      <w:proofErr w:type="spellStart"/>
      <w:r>
        <w:rPr>
          <w:rFonts w:ascii="Garamond" w:hAnsi="Garamond"/>
          <w:sz w:val="24"/>
          <w:szCs w:val="24"/>
        </w:rPr>
        <w:t>anticovid</w:t>
      </w:r>
      <w:proofErr w:type="spellEnd"/>
      <w:r>
        <w:rPr>
          <w:rFonts w:ascii="Garamond" w:hAnsi="Garamond"/>
          <w:sz w:val="24"/>
          <w:szCs w:val="24"/>
        </w:rPr>
        <w:t>, fino a ricomprendere nei casi più estremi, ideologie negazioniste volte a sminuire significativamente (se non addirittura disconoscere del tutto) l’impatto del Covid-19 sulla salute della collettività o, talvolta anche la sua esistenza.</w:t>
      </w:r>
    </w:p>
    <w:p w14:paraId="502B496B" w14:textId="6C6102E4" w:rsidR="0061721E" w:rsidRDefault="00656A51" w:rsidP="0061721E">
      <w:pPr>
        <w:spacing w:after="0" w:line="240" w:lineRule="auto"/>
        <w:ind w:firstLine="567"/>
        <w:jc w:val="both"/>
        <w:rPr>
          <w:rFonts w:ascii="Garamond" w:hAnsi="Garamond"/>
          <w:sz w:val="24"/>
          <w:szCs w:val="24"/>
        </w:rPr>
      </w:pPr>
      <w:r>
        <w:rPr>
          <w:rFonts w:ascii="Garamond" w:hAnsi="Garamond"/>
          <w:sz w:val="24"/>
          <w:szCs w:val="24"/>
        </w:rPr>
        <w:t xml:space="preserve">Si pensi in particolare alla c.d. </w:t>
      </w:r>
      <w:r w:rsidRPr="00D46456">
        <w:rPr>
          <w:rFonts w:ascii="Garamond" w:hAnsi="Garamond"/>
          <w:i/>
          <w:sz w:val="24"/>
          <w:szCs w:val="24"/>
        </w:rPr>
        <w:t xml:space="preserve">vaccine </w:t>
      </w:r>
      <w:proofErr w:type="spellStart"/>
      <w:r w:rsidRPr="00D46456">
        <w:rPr>
          <w:rFonts w:ascii="Garamond" w:hAnsi="Garamond"/>
          <w:i/>
          <w:sz w:val="24"/>
          <w:szCs w:val="24"/>
        </w:rPr>
        <w:t>hesitancy</w:t>
      </w:r>
      <w:proofErr w:type="spellEnd"/>
      <w:r>
        <w:rPr>
          <w:rStyle w:val="Rimandonotaapidipagina"/>
          <w:rFonts w:ascii="Garamond" w:hAnsi="Garamond"/>
          <w:i/>
          <w:sz w:val="24"/>
          <w:szCs w:val="24"/>
        </w:rPr>
        <w:footnoteReference w:id="62"/>
      </w:r>
      <w:r>
        <w:rPr>
          <w:rFonts w:ascii="Garamond" w:hAnsi="Garamond"/>
          <w:sz w:val="24"/>
          <w:szCs w:val="24"/>
        </w:rPr>
        <w:t xml:space="preserve">, oggetto di un dibattito assai acceso nel giudizio </w:t>
      </w:r>
      <w:proofErr w:type="spellStart"/>
      <w:r w:rsidRPr="00D46456">
        <w:rPr>
          <w:rFonts w:ascii="Garamond" w:hAnsi="Garamond"/>
          <w:i/>
          <w:sz w:val="24"/>
          <w:szCs w:val="24"/>
        </w:rPr>
        <w:t>Vavricka</w:t>
      </w:r>
      <w:proofErr w:type="spellEnd"/>
      <w:r w:rsidRPr="00D46456">
        <w:rPr>
          <w:rFonts w:ascii="Garamond" w:hAnsi="Garamond"/>
          <w:i/>
          <w:sz w:val="24"/>
          <w:szCs w:val="24"/>
        </w:rPr>
        <w:t xml:space="preserve"> </w:t>
      </w:r>
      <w:r w:rsidRPr="005A7C73">
        <w:rPr>
          <w:rFonts w:ascii="Garamond" w:hAnsi="Garamond"/>
          <w:i/>
          <w:sz w:val="24"/>
          <w:szCs w:val="24"/>
        </w:rPr>
        <w:t xml:space="preserve">and </w:t>
      </w:r>
      <w:proofErr w:type="spellStart"/>
      <w:r w:rsidRPr="005A7C73">
        <w:rPr>
          <w:rFonts w:ascii="Garamond" w:hAnsi="Garamond"/>
          <w:i/>
          <w:sz w:val="24"/>
          <w:szCs w:val="24"/>
        </w:rPr>
        <w:t>others</w:t>
      </w:r>
      <w:proofErr w:type="spellEnd"/>
      <w:r w:rsidRPr="005A7C73">
        <w:rPr>
          <w:rFonts w:ascii="Garamond" w:hAnsi="Garamond"/>
          <w:i/>
          <w:sz w:val="24"/>
          <w:szCs w:val="24"/>
        </w:rPr>
        <w:t xml:space="preserve"> 5 </w:t>
      </w:r>
      <w:r w:rsidRPr="00D46456">
        <w:rPr>
          <w:rFonts w:ascii="Garamond" w:hAnsi="Garamond"/>
          <w:i/>
          <w:sz w:val="24"/>
          <w:szCs w:val="24"/>
        </w:rPr>
        <w:t xml:space="preserve">c. </w:t>
      </w:r>
      <w:proofErr w:type="spellStart"/>
      <w:r w:rsidRPr="00D46456">
        <w:rPr>
          <w:rFonts w:ascii="Garamond" w:hAnsi="Garamond"/>
          <w:i/>
          <w:sz w:val="24"/>
          <w:szCs w:val="24"/>
        </w:rPr>
        <w:t>Czech</w:t>
      </w:r>
      <w:proofErr w:type="spellEnd"/>
      <w:r w:rsidRPr="00D46456">
        <w:rPr>
          <w:rFonts w:ascii="Garamond" w:hAnsi="Garamond"/>
          <w:i/>
          <w:sz w:val="24"/>
          <w:szCs w:val="24"/>
        </w:rPr>
        <w:t xml:space="preserve"> Republic </w:t>
      </w:r>
      <w:r w:rsidRPr="00D46456">
        <w:rPr>
          <w:rFonts w:ascii="Garamond" w:hAnsi="Garamond"/>
          <w:sz w:val="24"/>
          <w:szCs w:val="24"/>
        </w:rPr>
        <w:t>n.</w:t>
      </w:r>
      <w:r w:rsidRPr="00D46456">
        <w:rPr>
          <w:rFonts w:ascii="Garamond" w:hAnsi="Garamond"/>
          <w:i/>
          <w:sz w:val="24"/>
          <w:szCs w:val="24"/>
        </w:rPr>
        <w:t xml:space="preserve"> 47621/13 </w:t>
      </w:r>
      <w:r>
        <w:rPr>
          <w:rFonts w:ascii="Garamond" w:hAnsi="Garamond"/>
          <w:sz w:val="24"/>
          <w:szCs w:val="24"/>
        </w:rPr>
        <w:t xml:space="preserve">innanzi alla Corte europea dei diritti </w:t>
      </w:r>
      <w:r>
        <w:rPr>
          <w:rFonts w:ascii="Garamond" w:hAnsi="Garamond"/>
          <w:sz w:val="24"/>
          <w:szCs w:val="24"/>
        </w:rPr>
        <w:lastRenderedPageBreak/>
        <w:t xml:space="preserve">umani, la quale ha riconosciuto anzitutto la dimensione globale di tale fenomeno, così come la sua idoneità ad agevolare </w:t>
      </w:r>
      <w:r w:rsidR="0028654F" w:rsidRPr="0028654F">
        <w:rPr>
          <w:rFonts w:ascii="Garamond" w:hAnsi="Garamond"/>
          <w:sz w:val="24"/>
          <w:szCs w:val="24"/>
        </w:rPr>
        <w:t>«</w:t>
      </w:r>
      <w:r w:rsidRPr="00433398">
        <w:rPr>
          <w:rFonts w:ascii="Garamond" w:hAnsi="Garamond"/>
          <w:i/>
          <w:sz w:val="24"/>
          <w:szCs w:val="24"/>
        </w:rPr>
        <w:t xml:space="preserve">the </w:t>
      </w:r>
      <w:proofErr w:type="spellStart"/>
      <w:r w:rsidRPr="00433398">
        <w:rPr>
          <w:rFonts w:ascii="Garamond" w:hAnsi="Garamond"/>
          <w:i/>
          <w:sz w:val="24"/>
          <w:szCs w:val="24"/>
        </w:rPr>
        <w:t>possible</w:t>
      </w:r>
      <w:proofErr w:type="spellEnd"/>
      <w:r w:rsidRPr="00433398">
        <w:rPr>
          <w:rFonts w:ascii="Garamond" w:hAnsi="Garamond"/>
          <w:i/>
          <w:sz w:val="24"/>
          <w:szCs w:val="24"/>
        </w:rPr>
        <w:t xml:space="preserve"> </w:t>
      </w:r>
      <w:proofErr w:type="spellStart"/>
      <w:r w:rsidRPr="00433398">
        <w:rPr>
          <w:rFonts w:ascii="Garamond" w:hAnsi="Garamond"/>
          <w:i/>
          <w:sz w:val="24"/>
          <w:szCs w:val="24"/>
        </w:rPr>
        <w:t>return</w:t>
      </w:r>
      <w:proofErr w:type="spellEnd"/>
      <w:r w:rsidRPr="00433398">
        <w:rPr>
          <w:rFonts w:ascii="Garamond" w:hAnsi="Garamond"/>
          <w:i/>
          <w:sz w:val="24"/>
          <w:szCs w:val="24"/>
        </w:rPr>
        <w:t xml:space="preserve"> of </w:t>
      </w:r>
      <w:proofErr w:type="spellStart"/>
      <w:r w:rsidRPr="00433398">
        <w:rPr>
          <w:rFonts w:ascii="Garamond" w:hAnsi="Garamond"/>
          <w:i/>
          <w:sz w:val="24"/>
          <w:szCs w:val="24"/>
        </w:rPr>
        <w:t>previously</w:t>
      </w:r>
      <w:proofErr w:type="spellEnd"/>
      <w:r w:rsidRPr="00433398">
        <w:rPr>
          <w:rFonts w:ascii="Garamond" w:hAnsi="Garamond"/>
          <w:i/>
          <w:sz w:val="24"/>
          <w:szCs w:val="24"/>
        </w:rPr>
        <w:t xml:space="preserve"> </w:t>
      </w:r>
      <w:proofErr w:type="spellStart"/>
      <w:r w:rsidRPr="00433398">
        <w:rPr>
          <w:rFonts w:ascii="Garamond" w:hAnsi="Garamond"/>
          <w:i/>
          <w:sz w:val="24"/>
          <w:szCs w:val="24"/>
        </w:rPr>
        <w:t>controlled</w:t>
      </w:r>
      <w:proofErr w:type="spellEnd"/>
      <w:r w:rsidRPr="00433398">
        <w:rPr>
          <w:rFonts w:ascii="Garamond" w:hAnsi="Garamond"/>
          <w:i/>
          <w:sz w:val="24"/>
          <w:szCs w:val="24"/>
        </w:rPr>
        <w:t xml:space="preserve"> vaccine</w:t>
      </w:r>
      <w:r w:rsidRPr="00433398">
        <w:rPr>
          <w:rFonts w:ascii="Garamond" w:hAnsi="Garamond"/>
          <w:i/>
          <w:sz w:val="24"/>
          <w:szCs w:val="24"/>
        </w:rPr>
        <w:noBreakHyphen/>
      </w:r>
      <w:proofErr w:type="spellStart"/>
      <w:r w:rsidRPr="00433398">
        <w:rPr>
          <w:rFonts w:ascii="Garamond" w:hAnsi="Garamond"/>
          <w:i/>
          <w:sz w:val="24"/>
          <w:szCs w:val="24"/>
        </w:rPr>
        <w:t>preventable</w:t>
      </w:r>
      <w:proofErr w:type="spellEnd"/>
      <w:r w:rsidRPr="00433398">
        <w:rPr>
          <w:rFonts w:ascii="Garamond" w:hAnsi="Garamond"/>
          <w:i/>
          <w:sz w:val="24"/>
          <w:szCs w:val="24"/>
        </w:rPr>
        <w:t xml:space="preserve"> </w:t>
      </w:r>
      <w:proofErr w:type="spellStart"/>
      <w:r w:rsidRPr="00433398">
        <w:rPr>
          <w:rFonts w:ascii="Garamond" w:hAnsi="Garamond"/>
          <w:i/>
          <w:sz w:val="24"/>
          <w:szCs w:val="24"/>
        </w:rPr>
        <w:t>diseases</w:t>
      </w:r>
      <w:proofErr w:type="spellEnd"/>
      <w:r w:rsidR="0028654F" w:rsidRPr="0028654F">
        <w:rPr>
          <w:rFonts w:ascii="Garamond" w:hAnsi="Garamond"/>
          <w:sz w:val="24"/>
          <w:szCs w:val="24"/>
        </w:rPr>
        <w:t>»</w:t>
      </w:r>
      <w:r>
        <w:rPr>
          <w:rStyle w:val="Rimandonotaapidipagina"/>
          <w:rFonts w:ascii="Garamond" w:hAnsi="Garamond"/>
          <w:sz w:val="24"/>
          <w:szCs w:val="24"/>
        </w:rPr>
        <w:footnoteReference w:id="63"/>
      </w:r>
      <w:r>
        <w:rPr>
          <w:rFonts w:ascii="Garamond" w:hAnsi="Garamond"/>
          <w:sz w:val="24"/>
          <w:szCs w:val="24"/>
        </w:rPr>
        <w:t xml:space="preserve">, e ad ostacolare il raggiungimento della </w:t>
      </w:r>
      <w:r w:rsidR="0028654F" w:rsidRPr="0028654F">
        <w:rPr>
          <w:rFonts w:ascii="Garamond" w:hAnsi="Garamond"/>
          <w:sz w:val="24"/>
          <w:szCs w:val="24"/>
        </w:rPr>
        <w:t>«</w:t>
      </w:r>
      <w:r w:rsidRPr="00433398">
        <w:rPr>
          <w:rFonts w:ascii="Garamond" w:hAnsi="Garamond"/>
          <w:i/>
          <w:sz w:val="24"/>
          <w:szCs w:val="24"/>
        </w:rPr>
        <w:t xml:space="preserve">high global </w:t>
      </w:r>
      <w:proofErr w:type="spellStart"/>
      <w:r w:rsidRPr="00433398">
        <w:rPr>
          <w:rFonts w:ascii="Garamond" w:hAnsi="Garamond"/>
          <w:i/>
          <w:sz w:val="24"/>
          <w:szCs w:val="24"/>
        </w:rPr>
        <w:t>vaccination</w:t>
      </w:r>
      <w:proofErr w:type="spellEnd"/>
      <w:r w:rsidRPr="00433398">
        <w:rPr>
          <w:rFonts w:ascii="Garamond" w:hAnsi="Garamond"/>
          <w:i/>
          <w:sz w:val="24"/>
          <w:szCs w:val="24"/>
        </w:rPr>
        <w:t xml:space="preserve"> coverage</w:t>
      </w:r>
      <w:r w:rsidR="0028654F" w:rsidRPr="0028654F">
        <w:rPr>
          <w:rFonts w:ascii="Garamond" w:hAnsi="Garamond"/>
          <w:sz w:val="24"/>
          <w:szCs w:val="24"/>
        </w:rPr>
        <w:t>»</w:t>
      </w:r>
      <w:r>
        <w:rPr>
          <w:rStyle w:val="Rimandonotaapidipagina"/>
          <w:rFonts w:ascii="Garamond" w:hAnsi="Garamond"/>
          <w:sz w:val="24"/>
          <w:szCs w:val="24"/>
        </w:rPr>
        <w:footnoteReference w:id="64"/>
      </w:r>
      <w:r>
        <w:rPr>
          <w:rFonts w:ascii="Garamond" w:hAnsi="Garamond"/>
          <w:sz w:val="24"/>
          <w:szCs w:val="24"/>
        </w:rPr>
        <w:t xml:space="preserve"> contro le malattie infettive non ancora dichiarate endemiche dall’OMS. </w:t>
      </w:r>
      <w:r>
        <w:rPr>
          <w:rFonts w:ascii="Garamond" w:hAnsi="Garamond"/>
          <w:sz w:val="24"/>
          <w:szCs w:val="24"/>
        </w:rPr>
        <w:tab/>
      </w:r>
      <w:r>
        <w:rPr>
          <w:rFonts w:ascii="Garamond" w:hAnsi="Garamond"/>
          <w:sz w:val="24"/>
          <w:szCs w:val="24"/>
        </w:rPr>
        <w:tab/>
      </w:r>
    </w:p>
    <w:p w14:paraId="62854B77" w14:textId="77777777" w:rsidR="008878AE" w:rsidRPr="000D593D" w:rsidRDefault="00656A51" w:rsidP="0061721E">
      <w:pPr>
        <w:spacing w:after="0" w:line="240" w:lineRule="auto"/>
        <w:ind w:firstLine="567"/>
        <w:jc w:val="both"/>
        <w:rPr>
          <w:rFonts w:ascii="Garamond" w:hAnsi="Garamond" w:cs="Times New Roman (Corpo CS)"/>
          <w:spacing w:val="-6"/>
          <w:sz w:val="24"/>
          <w:szCs w:val="24"/>
        </w:rPr>
      </w:pPr>
      <w:r>
        <w:rPr>
          <w:rFonts w:ascii="Garamond" w:hAnsi="Garamond"/>
          <w:sz w:val="24"/>
          <w:szCs w:val="24"/>
        </w:rPr>
        <w:t>Nella specie, infatti, sei ricorrenti di nazionalità ceca (che non avevano vaccinato i propri figli per paura degli effetti avversi dei vaccini</w:t>
      </w:r>
      <w:r>
        <w:rPr>
          <w:rStyle w:val="Rimandonotaapidipagina"/>
          <w:rFonts w:ascii="Garamond" w:hAnsi="Garamond"/>
          <w:sz w:val="24"/>
          <w:szCs w:val="24"/>
        </w:rPr>
        <w:footnoteReference w:id="65"/>
      </w:r>
      <w:r>
        <w:rPr>
          <w:rFonts w:ascii="Garamond" w:hAnsi="Garamond"/>
          <w:sz w:val="24"/>
          <w:szCs w:val="24"/>
        </w:rPr>
        <w:t xml:space="preserve">) chiedevano alla Corte europea se l’obbligo di vaccinazione </w:t>
      </w:r>
      <w:r w:rsidRPr="005275ED">
        <w:rPr>
          <w:rFonts w:ascii="Garamond" w:hAnsi="Garamond"/>
          <w:sz w:val="24"/>
          <w:szCs w:val="24"/>
        </w:rPr>
        <w:t xml:space="preserve">contro </w:t>
      </w:r>
      <w:r>
        <w:rPr>
          <w:rFonts w:ascii="Garamond" w:hAnsi="Garamond"/>
          <w:sz w:val="24"/>
          <w:szCs w:val="24"/>
        </w:rPr>
        <w:t>nove</w:t>
      </w:r>
      <w:r w:rsidRPr="005275ED">
        <w:rPr>
          <w:rFonts w:ascii="Garamond" w:hAnsi="Garamond"/>
          <w:sz w:val="24"/>
          <w:szCs w:val="24"/>
        </w:rPr>
        <w:t xml:space="preserve"> malatti</w:t>
      </w:r>
      <w:r>
        <w:rPr>
          <w:rFonts w:ascii="Garamond" w:hAnsi="Garamond"/>
          <w:sz w:val="24"/>
          <w:szCs w:val="24"/>
        </w:rPr>
        <w:t>e infettive</w:t>
      </w:r>
      <w:r w:rsidRPr="005275ED">
        <w:rPr>
          <w:rFonts w:ascii="Garamond" w:hAnsi="Garamond"/>
          <w:sz w:val="24"/>
          <w:szCs w:val="24"/>
        </w:rPr>
        <w:t xml:space="preserve"> </w:t>
      </w:r>
      <w:r>
        <w:rPr>
          <w:rFonts w:ascii="Garamond" w:hAnsi="Garamond"/>
          <w:sz w:val="24"/>
          <w:szCs w:val="24"/>
        </w:rPr>
        <w:t>imposto dal legislatore nazionale ai (figli) minori per l’accesso alla scuola materna fosse una misura conforme rispetto all’art. 8 CEDU in considerazione anche delle sanzioni previste in caso di inadempimento. I giudici di Strasburgo</w:t>
      </w:r>
      <w:r>
        <w:rPr>
          <w:rStyle w:val="Rimandonotaapidipagina"/>
          <w:rFonts w:ascii="Garamond" w:hAnsi="Garamond"/>
          <w:sz w:val="24"/>
          <w:szCs w:val="24"/>
        </w:rPr>
        <w:footnoteReference w:id="66"/>
      </w:r>
      <w:r>
        <w:rPr>
          <w:rFonts w:ascii="Garamond" w:hAnsi="Garamond"/>
          <w:sz w:val="24"/>
          <w:szCs w:val="24"/>
        </w:rPr>
        <w:t xml:space="preserve"> - nel riconoscere l’ampio margine di apprezzamento</w:t>
      </w:r>
      <w:r>
        <w:rPr>
          <w:rStyle w:val="Rimandonotaapidipagina"/>
          <w:rFonts w:ascii="Garamond" w:hAnsi="Garamond"/>
          <w:sz w:val="24"/>
          <w:szCs w:val="24"/>
        </w:rPr>
        <w:footnoteReference w:id="67"/>
      </w:r>
      <w:r>
        <w:rPr>
          <w:rFonts w:ascii="Garamond" w:hAnsi="Garamond"/>
          <w:sz w:val="24"/>
          <w:szCs w:val="24"/>
        </w:rPr>
        <w:t xml:space="preserve"> in favore del legislatore </w:t>
      </w:r>
      <w:r w:rsidRPr="000D593D">
        <w:rPr>
          <w:rFonts w:ascii="Garamond" w:hAnsi="Garamond" w:cs="Times New Roman (Corpo CS)"/>
          <w:spacing w:val="-6"/>
          <w:sz w:val="24"/>
          <w:szCs w:val="24"/>
        </w:rPr>
        <w:lastRenderedPageBreak/>
        <w:t>nazionale nell’adottare le misure più opportune a tutela della salute collettiva, (richiamando anche l’art. 11</w:t>
      </w:r>
      <w:r w:rsidRPr="000D593D">
        <w:rPr>
          <w:rStyle w:val="Rimandonotaapidipagina"/>
          <w:rFonts w:ascii="Garamond" w:hAnsi="Garamond" w:cs="Times New Roman (Corpo CS)"/>
          <w:spacing w:val="-6"/>
          <w:sz w:val="24"/>
          <w:szCs w:val="24"/>
        </w:rPr>
        <w:footnoteReference w:id="68"/>
      </w:r>
      <w:r w:rsidRPr="000D593D">
        <w:rPr>
          <w:rFonts w:ascii="Garamond" w:hAnsi="Garamond" w:cs="Times New Roman (Corpo CS)"/>
          <w:spacing w:val="-6"/>
          <w:sz w:val="24"/>
          <w:szCs w:val="24"/>
        </w:rPr>
        <w:t xml:space="preserve"> Carta sociale europea) - hanno valutato</w:t>
      </w:r>
      <w:r w:rsidR="008878AE" w:rsidRPr="000D593D">
        <w:rPr>
          <w:rFonts w:ascii="Garamond" w:hAnsi="Garamond" w:cs="Times New Roman (Corpo CS)"/>
          <w:spacing w:val="-6"/>
          <w:sz w:val="24"/>
          <w:szCs w:val="24"/>
        </w:rPr>
        <w:t xml:space="preserve"> conforme l’obbligo vaccinale. </w:t>
      </w:r>
    </w:p>
    <w:p w14:paraId="2A249B2B" w14:textId="2729DE06" w:rsidR="0061721E" w:rsidRPr="000D593D" w:rsidRDefault="00656A51" w:rsidP="0061721E">
      <w:pPr>
        <w:spacing w:after="0" w:line="240" w:lineRule="auto"/>
        <w:ind w:firstLine="567"/>
        <w:jc w:val="both"/>
        <w:rPr>
          <w:rFonts w:ascii="Garamond" w:hAnsi="Garamond" w:cs="Times New Roman (Corpo CS)"/>
          <w:spacing w:val="-6"/>
          <w:sz w:val="24"/>
          <w:szCs w:val="24"/>
        </w:rPr>
      </w:pPr>
      <w:r w:rsidRPr="000D593D">
        <w:rPr>
          <w:rFonts w:ascii="Garamond" w:hAnsi="Garamond" w:cs="Times New Roman (Corpo CS)"/>
          <w:spacing w:val="-6"/>
          <w:sz w:val="24"/>
          <w:szCs w:val="24"/>
        </w:rPr>
        <w:t xml:space="preserve">La Corte ha ravvisato che tale obbligo è previsto da una legge interna (sufficientemente precisa e ragionevole) volta a tutelare non solo i minori vaccinati da un grave danno alla salute (scopo legittimo), ma anche gli altri fanciulli, che per motivi clinici (in quanto soggetti particolarmente vulnerabili) non possono vaccinarsi, rispondendo così chiaramente ad un </w:t>
      </w:r>
      <w:r w:rsidR="00D56F80" w:rsidRPr="000D593D">
        <w:rPr>
          <w:rFonts w:ascii="Garamond" w:hAnsi="Garamond" w:cs="Times New Roman (Corpo CS)"/>
          <w:spacing w:val="-6"/>
          <w:sz w:val="24"/>
          <w:szCs w:val="24"/>
        </w:rPr>
        <w:t>«</w:t>
      </w:r>
      <w:r w:rsidRPr="000D593D">
        <w:rPr>
          <w:rFonts w:ascii="Garamond" w:hAnsi="Garamond" w:cs="Times New Roman (Corpo CS)"/>
          <w:i/>
          <w:spacing w:val="-6"/>
          <w:sz w:val="24"/>
          <w:szCs w:val="24"/>
        </w:rPr>
        <w:t>pressing social need</w:t>
      </w:r>
      <w:r w:rsidR="00D56F80" w:rsidRPr="000D593D">
        <w:rPr>
          <w:rFonts w:ascii="Garamond" w:hAnsi="Garamond" w:cs="Times New Roman (Corpo CS)"/>
          <w:spacing w:val="-6"/>
          <w:sz w:val="24"/>
          <w:szCs w:val="24"/>
        </w:rPr>
        <w:t>»</w:t>
      </w:r>
      <w:r w:rsidRPr="000D593D">
        <w:rPr>
          <w:rStyle w:val="Rimandonotaapidipagina"/>
          <w:rFonts w:ascii="Garamond" w:hAnsi="Garamond" w:cs="Times New Roman (Corpo CS)"/>
          <w:spacing w:val="-6"/>
          <w:sz w:val="24"/>
          <w:szCs w:val="24"/>
        </w:rPr>
        <w:footnoteReference w:id="69"/>
      </w:r>
      <w:r w:rsidRPr="000D593D">
        <w:rPr>
          <w:rFonts w:ascii="Garamond" w:hAnsi="Garamond" w:cs="Times New Roman (Corpo CS)"/>
          <w:spacing w:val="-6"/>
          <w:sz w:val="24"/>
          <w:szCs w:val="24"/>
        </w:rPr>
        <w:t xml:space="preserve">. </w:t>
      </w:r>
    </w:p>
    <w:p w14:paraId="1D17B3E0" w14:textId="605F2991" w:rsidR="008878AE" w:rsidRPr="000D593D" w:rsidRDefault="00656A51" w:rsidP="0061721E">
      <w:pPr>
        <w:spacing w:after="0" w:line="240" w:lineRule="auto"/>
        <w:ind w:firstLine="567"/>
        <w:jc w:val="both"/>
        <w:rPr>
          <w:rFonts w:ascii="Garamond" w:hAnsi="Garamond" w:cs="Times New Roman (Corpo CS)"/>
          <w:spacing w:val="-6"/>
          <w:sz w:val="24"/>
          <w:szCs w:val="24"/>
        </w:rPr>
      </w:pPr>
      <w:r w:rsidRPr="000D593D">
        <w:rPr>
          <w:rFonts w:ascii="Garamond" w:hAnsi="Garamond" w:cs="Times New Roman (Corpo CS)"/>
          <w:spacing w:val="-6"/>
          <w:sz w:val="24"/>
          <w:szCs w:val="24"/>
        </w:rPr>
        <w:t>La Corte ha anche confermato che la necessità</w:t>
      </w:r>
      <w:r w:rsidRPr="000D593D">
        <w:rPr>
          <w:rStyle w:val="Rimandonotaapidipagina"/>
          <w:rFonts w:ascii="Garamond" w:hAnsi="Garamond" w:cs="Times New Roman (Corpo CS)"/>
          <w:spacing w:val="-6"/>
          <w:sz w:val="24"/>
          <w:szCs w:val="24"/>
        </w:rPr>
        <w:footnoteReference w:id="70"/>
      </w:r>
      <w:r w:rsidRPr="000D593D">
        <w:rPr>
          <w:rFonts w:ascii="Garamond" w:hAnsi="Garamond" w:cs="Times New Roman (Corpo CS)"/>
          <w:spacing w:val="-6"/>
          <w:sz w:val="24"/>
          <w:szCs w:val="24"/>
        </w:rPr>
        <w:t xml:space="preserve"> della misura è da rinvenirsi nel fatto che la sola raccomandazione di tali vaccini - peraltro assai noti per la loro sicurezza ed efficacia all’interno della comunità scientifica – avrebbe contribuito a ridurre ulteriormente la percentuale di copertura vaccinale necessaria per raggiungere la c.d. immunità di gregge contro le predette malattie, mettendo a repentaglio la salute dei fanciulli. I giudici hanno poi sancito la proporzionalità delle sanzioni, che avevano ad oggetto un’ammenda amministrativa di scarso valore pecuniario e la mancata ammissione alla scuola materna. Quest’ultima - incidendo solo transitoriamente sullo sviluppo educativo del minore, precludeva soltanto l’accesso alla scuola materna e non anche a quella primaria, in ragione della sua natura </w:t>
      </w:r>
      <w:bookmarkStart w:id="3" w:name="_Hlk61967697"/>
      <w:r w:rsidRPr="000D593D">
        <w:rPr>
          <w:rFonts w:ascii="Garamond" w:hAnsi="Garamond" w:cs="Times New Roman (Corpo CS)"/>
          <w:spacing w:val="-6"/>
          <w:sz w:val="24"/>
          <w:szCs w:val="24"/>
        </w:rPr>
        <w:t>più preventivo-protettiva</w:t>
      </w:r>
      <w:r w:rsidRPr="000D593D">
        <w:rPr>
          <w:rFonts w:ascii="Garamond" w:hAnsi="Garamond" w:cs="Times New Roman (Corpo CS)"/>
          <w:i/>
          <w:spacing w:val="-6"/>
          <w:sz w:val="24"/>
          <w:szCs w:val="24"/>
        </w:rPr>
        <w:t xml:space="preserve"> </w:t>
      </w:r>
      <w:r w:rsidR="00D56F80" w:rsidRPr="000D593D">
        <w:rPr>
          <w:rFonts w:ascii="Garamond" w:hAnsi="Garamond" w:cs="Times New Roman (Corpo CS)"/>
          <w:spacing w:val="-6"/>
          <w:sz w:val="24"/>
          <w:szCs w:val="24"/>
        </w:rPr>
        <w:t>«</w:t>
      </w:r>
      <w:proofErr w:type="spellStart"/>
      <w:r w:rsidRPr="000D593D">
        <w:rPr>
          <w:rFonts w:ascii="Garamond" w:hAnsi="Garamond" w:cs="Times New Roman (Corpo CS)"/>
          <w:i/>
          <w:spacing w:val="-6"/>
          <w:sz w:val="24"/>
          <w:szCs w:val="24"/>
        </w:rPr>
        <w:t>rather</w:t>
      </w:r>
      <w:proofErr w:type="spellEnd"/>
      <w:r w:rsidRPr="000D593D">
        <w:rPr>
          <w:rFonts w:ascii="Garamond" w:hAnsi="Garamond" w:cs="Times New Roman (Corpo CS)"/>
          <w:i/>
          <w:spacing w:val="-6"/>
          <w:sz w:val="24"/>
          <w:szCs w:val="24"/>
        </w:rPr>
        <w:t xml:space="preserve"> </w:t>
      </w:r>
      <w:proofErr w:type="spellStart"/>
      <w:r w:rsidRPr="000D593D">
        <w:rPr>
          <w:rFonts w:ascii="Garamond" w:hAnsi="Garamond" w:cs="Times New Roman (Corpo CS)"/>
          <w:i/>
          <w:spacing w:val="-6"/>
          <w:sz w:val="24"/>
          <w:szCs w:val="24"/>
        </w:rPr>
        <w:t>than</w:t>
      </w:r>
      <w:proofErr w:type="spellEnd"/>
      <w:r w:rsidRPr="000D593D">
        <w:rPr>
          <w:rFonts w:ascii="Garamond" w:hAnsi="Garamond" w:cs="Times New Roman (Corpo CS)"/>
          <w:i/>
          <w:spacing w:val="-6"/>
          <w:sz w:val="24"/>
          <w:szCs w:val="24"/>
        </w:rPr>
        <w:t xml:space="preserve"> punitive</w:t>
      </w:r>
      <w:r w:rsidR="00D56F80" w:rsidRPr="000D593D">
        <w:rPr>
          <w:rFonts w:ascii="Garamond" w:hAnsi="Garamond" w:cs="Times New Roman (Corpo CS)"/>
          <w:spacing w:val="-6"/>
          <w:sz w:val="24"/>
          <w:szCs w:val="24"/>
        </w:rPr>
        <w:t>»</w:t>
      </w:r>
      <w:r w:rsidRPr="000D593D">
        <w:rPr>
          <w:rStyle w:val="Rimandonotaapidipagina"/>
          <w:rFonts w:ascii="Garamond" w:hAnsi="Garamond" w:cs="Times New Roman (Corpo CS)"/>
          <w:spacing w:val="-6"/>
          <w:sz w:val="24"/>
          <w:szCs w:val="24"/>
        </w:rPr>
        <w:footnoteReference w:id="71"/>
      </w:r>
      <w:r w:rsidRPr="000D593D">
        <w:rPr>
          <w:rFonts w:ascii="Garamond" w:hAnsi="Garamond" w:cs="Times New Roman (Corpo CS)"/>
          <w:spacing w:val="-6"/>
          <w:sz w:val="24"/>
          <w:szCs w:val="24"/>
        </w:rPr>
        <w:t xml:space="preserve"> – si giustifica con l’esigenza di solidarietà sociale</w:t>
      </w:r>
      <w:r w:rsidRPr="000D593D">
        <w:rPr>
          <w:rStyle w:val="Rimandonotaapidipagina"/>
          <w:rFonts w:ascii="Garamond" w:hAnsi="Garamond" w:cs="Times New Roman (Corpo CS)"/>
          <w:spacing w:val="-6"/>
          <w:sz w:val="24"/>
          <w:szCs w:val="24"/>
        </w:rPr>
        <w:footnoteReference w:id="72"/>
      </w:r>
      <w:r w:rsidRPr="000D593D">
        <w:rPr>
          <w:rFonts w:ascii="Garamond" w:hAnsi="Garamond" w:cs="Times New Roman (Corpo CS)"/>
          <w:spacing w:val="-6"/>
          <w:sz w:val="24"/>
          <w:szCs w:val="24"/>
        </w:rPr>
        <w:t xml:space="preserve"> di tutelare, con la vaccinazione collettiva (che presenta un rischio trascurabile e remoto per l’individuo secondo le autorità scientifiche nazionali), anche la salute dei fanciulli che per motivi clinici documentati non possono esservi sottoposti.</w:t>
      </w:r>
      <w:bookmarkEnd w:id="3"/>
      <w:r w:rsidRPr="000D593D">
        <w:rPr>
          <w:rFonts w:ascii="Garamond" w:hAnsi="Garamond" w:cs="Times New Roman (Corpo CS)"/>
          <w:spacing w:val="-6"/>
          <w:sz w:val="24"/>
          <w:szCs w:val="24"/>
        </w:rPr>
        <w:t xml:space="preserve"> La legge ceca ha previsto, infatti, eccezioni al predetto obbligo in favore dei soggetti che per controindicazioni non potessero sottoporsi a vaccinazione, oltre al risarcimento nei confronti dei soggetti danneggi</w:t>
      </w:r>
      <w:r w:rsidR="008878AE" w:rsidRPr="000D593D">
        <w:rPr>
          <w:rFonts w:ascii="Garamond" w:hAnsi="Garamond" w:cs="Times New Roman (Corpo CS)"/>
          <w:spacing w:val="-6"/>
          <w:sz w:val="24"/>
          <w:szCs w:val="24"/>
        </w:rPr>
        <w:t xml:space="preserve">ati dalla vaccinazione. </w:t>
      </w:r>
    </w:p>
    <w:p w14:paraId="15738653" w14:textId="0C3759BC" w:rsidR="0061721E" w:rsidRPr="000D593D" w:rsidRDefault="00656A51" w:rsidP="000D593D">
      <w:pPr>
        <w:widowControl w:val="0"/>
        <w:spacing w:after="0" w:line="240" w:lineRule="auto"/>
        <w:ind w:firstLine="567"/>
        <w:jc w:val="both"/>
        <w:rPr>
          <w:rFonts w:ascii="Garamond" w:hAnsi="Garamond"/>
          <w:spacing w:val="-6"/>
          <w:sz w:val="24"/>
          <w:szCs w:val="24"/>
        </w:rPr>
      </w:pPr>
      <w:r w:rsidRPr="000D593D">
        <w:rPr>
          <w:rFonts w:ascii="Garamond" w:hAnsi="Garamond" w:cs="Times New Roman (Corpo CS)"/>
          <w:spacing w:val="-6"/>
          <w:sz w:val="24"/>
          <w:szCs w:val="24"/>
        </w:rPr>
        <w:t xml:space="preserve">Infine, quanto alla </w:t>
      </w:r>
      <w:r w:rsidRPr="000D593D">
        <w:rPr>
          <w:rFonts w:ascii="Garamond" w:hAnsi="Garamond" w:cs="Times New Roman (Corpo CS)"/>
          <w:i/>
          <w:spacing w:val="-6"/>
          <w:sz w:val="24"/>
          <w:szCs w:val="24"/>
        </w:rPr>
        <w:t xml:space="preserve">vaccine </w:t>
      </w:r>
      <w:proofErr w:type="spellStart"/>
      <w:r w:rsidRPr="000D593D">
        <w:rPr>
          <w:rFonts w:ascii="Garamond" w:hAnsi="Garamond" w:cs="Times New Roman (Corpo CS)"/>
          <w:i/>
          <w:spacing w:val="-6"/>
          <w:sz w:val="24"/>
          <w:szCs w:val="24"/>
        </w:rPr>
        <w:t>hesitancy</w:t>
      </w:r>
      <w:proofErr w:type="spellEnd"/>
      <w:r w:rsidRPr="000D593D">
        <w:rPr>
          <w:rFonts w:ascii="Garamond" w:hAnsi="Garamond" w:cs="Times New Roman (Corpo CS)"/>
          <w:spacing w:val="-6"/>
          <w:sz w:val="24"/>
          <w:szCs w:val="24"/>
        </w:rPr>
        <w:t xml:space="preserve">, la Corte ha considerato inapplicabile l’obiezione di coscienza fatta valere dai ricorrenti </w:t>
      </w:r>
      <w:r w:rsidRPr="000D593D">
        <w:rPr>
          <w:rFonts w:ascii="Garamond" w:hAnsi="Garamond" w:cs="Times New Roman (Corpo CS)"/>
          <w:i/>
          <w:spacing w:val="-6"/>
          <w:sz w:val="24"/>
          <w:szCs w:val="24"/>
        </w:rPr>
        <w:t>ex</w:t>
      </w:r>
      <w:r w:rsidRPr="000D593D">
        <w:rPr>
          <w:rFonts w:ascii="Garamond" w:hAnsi="Garamond" w:cs="Times New Roman (Corpo CS)"/>
          <w:spacing w:val="-6"/>
          <w:sz w:val="24"/>
          <w:szCs w:val="24"/>
        </w:rPr>
        <w:t xml:space="preserve"> art. 9 CEDU in nome del loro credo, per mancanza di sufficiente </w:t>
      </w:r>
      <w:r w:rsidR="00D56F80" w:rsidRPr="000D593D">
        <w:rPr>
          <w:rFonts w:ascii="Garamond" w:hAnsi="Garamond" w:cs="Times New Roman (Corpo CS)"/>
          <w:spacing w:val="-6"/>
          <w:sz w:val="24"/>
          <w:szCs w:val="24"/>
        </w:rPr>
        <w:t>«</w:t>
      </w:r>
      <w:proofErr w:type="spellStart"/>
      <w:r w:rsidRPr="000D593D">
        <w:rPr>
          <w:rFonts w:ascii="Garamond" w:hAnsi="Garamond" w:cs="Times New Roman (Corpo CS)"/>
          <w:i/>
          <w:spacing w:val="-6"/>
          <w:sz w:val="24"/>
          <w:szCs w:val="24"/>
        </w:rPr>
        <w:t>cogency</w:t>
      </w:r>
      <w:proofErr w:type="spellEnd"/>
      <w:r w:rsidRPr="000D593D">
        <w:rPr>
          <w:rFonts w:ascii="Garamond" w:hAnsi="Garamond" w:cs="Times New Roman (Corpo CS)"/>
          <w:i/>
          <w:spacing w:val="-6"/>
          <w:sz w:val="24"/>
          <w:szCs w:val="24"/>
        </w:rPr>
        <w:t xml:space="preserve">, </w:t>
      </w:r>
      <w:proofErr w:type="spellStart"/>
      <w:r w:rsidRPr="000D593D">
        <w:rPr>
          <w:rFonts w:ascii="Garamond" w:hAnsi="Garamond" w:cs="Times New Roman (Corpo CS)"/>
          <w:i/>
          <w:spacing w:val="-6"/>
          <w:sz w:val="24"/>
          <w:szCs w:val="24"/>
        </w:rPr>
        <w:t>seriousness</w:t>
      </w:r>
      <w:proofErr w:type="spellEnd"/>
      <w:r w:rsidRPr="000D593D">
        <w:rPr>
          <w:rFonts w:ascii="Garamond" w:hAnsi="Garamond" w:cs="Times New Roman (Corpo CS)"/>
          <w:i/>
          <w:spacing w:val="-6"/>
          <w:sz w:val="24"/>
          <w:szCs w:val="24"/>
        </w:rPr>
        <w:t xml:space="preserve">, </w:t>
      </w:r>
      <w:proofErr w:type="spellStart"/>
      <w:r w:rsidRPr="000D593D">
        <w:rPr>
          <w:rFonts w:ascii="Garamond" w:hAnsi="Garamond" w:cs="Times New Roman (Corpo CS)"/>
          <w:i/>
          <w:spacing w:val="-6"/>
          <w:sz w:val="24"/>
          <w:szCs w:val="24"/>
        </w:rPr>
        <w:t>cohesion</w:t>
      </w:r>
      <w:proofErr w:type="spellEnd"/>
      <w:r w:rsidRPr="000D593D">
        <w:rPr>
          <w:rFonts w:ascii="Garamond" w:hAnsi="Garamond" w:cs="Times New Roman (Corpo CS)"/>
          <w:i/>
          <w:spacing w:val="-6"/>
          <w:sz w:val="24"/>
          <w:szCs w:val="24"/>
        </w:rPr>
        <w:t xml:space="preserve"> and </w:t>
      </w:r>
      <w:proofErr w:type="spellStart"/>
      <w:r w:rsidRPr="000D593D">
        <w:rPr>
          <w:rFonts w:ascii="Garamond" w:hAnsi="Garamond" w:cs="Times New Roman (Corpo CS)"/>
          <w:i/>
          <w:spacing w:val="-6"/>
          <w:sz w:val="24"/>
          <w:szCs w:val="24"/>
        </w:rPr>
        <w:t>importance</w:t>
      </w:r>
      <w:proofErr w:type="spellEnd"/>
      <w:r w:rsidR="00D56F80" w:rsidRPr="000D593D">
        <w:rPr>
          <w:rFonts w:ascii="Garamond" w:hAnsi="Garamond" w:cs="Times New Roman (Corpo CS)"/>
          <w:spacing w:val="-6"/>
          <w:sz w:val="24"/>
          <w:szCs w:val="24"/>
        </w:rPr>
        <w:t>»</w:t>
      </w:r>
      <w:r w:rsidRPr="000D593D">
        <w:rPr>
          <w:rStyle w:val="Rimandonotaapidipagina"/>
          <w:rFonts w:ascii="Garamond" w:hAnsi="Garamond" w:cs="Times New Roman (Corpo CS)"/>
          <w:spacing w:val="-6"/>
          <w:sz w:val="24"/>
          <w:szCs w:val="24"/>
        </w:rPr>
        <w:footnoteReference w:id="73"/>
      </w:r>
      <w:r w:rsidRPr="000D593D">
        <w:rPr>
          <w:rFonts w:ascii="Garamond" w:hAnsi="Garamond" w:cs="Times New Roman (Corpo CS)"/>
          <w:spacing w:val="-6"/>
          <w:sz w:val="24"/>
          <w:szCs w:val="24"/>
        </w:rPr>
        <w:t xml:space="preserve"> dello stesso. Resta da osservare che, stante la Corte non si sia pronunciata sull’obbligatorietà dei vaccini </w:t>
      </w:r>
      <w:proofErr w:type="spellStart"/>
      <w:r w:rsidRPr="000D593D">
        <w:rPr>
          <w:rFonts w:ascii="Garamond" w:hAnsi="Garamond" w:cs="Times New Roman (Corpo CS)"/>
          <w:spacing w:val="-6"/>
          <w:sz w:val="24"/>
          <w:szCs w:val="24"/>
        </w:rPr>
        <w:t>anticovid</w:t>
      </w:r>
      <w:proofErr w:type="spellEnd"/>
      <w:r w:rsidRPr="000D593D">
        <w:rPr>
          <w:rFonts w:ascii="Garamond" w:hAnsi="Garamond" w:cs="Times New Roman (Corpo CS)"/>
          <w:spacing w:val="-6"/>
          <w:sz w:val="24"/>
          <w:szCs w:val="24"/>
        </w:rPr>
        <w:t xml:space="preserve">, essa ha comunque fornito importanti parametri nonché linee guida utili per la valutazione della </w:t>
      </w:r>
      <w:r w:rsidRPr="000D593D">
        <w:rPr>
          <w:rFonts w:ascii="Garamond" w:hAnsi="Garamond"/>
          <w:spacing w:val="-6"/>
          <w:sz w:val="24"/>
          <w:szCs w:val="24"/>
        </w:rPr>
        <w:t>conformità degli obblighi vaccinali interni</w:t>
      </w:r>
      <w:r w:rsidRPr="000D593D">
        <w:rPr>
          <w:rStyle w:val="Rimandonotaapidipagina"/>
          <w:rFonts w:ascii="Garamond" w:hAnsi="Garamond"/>
          <w:spacing w:val="-6"/>
          <w:sz w:val="24"/>
          <w:szCs w:val="24"/>
        </w:rPr>
        <w:footnoteReference w:id="74"/>
      </w:r>
      <w:r w:rsidRPr="000D593D">
        <w:rPr>
          <w:rFonts w:ascii="Garamond" w:hAnsi="Garamond"/>
          <w:spacing w:val="-6"/>
          <w:sz w:val="24"/>
          <w:szCs w:val="24"/>
        </w:rPr>
        <w:t xml:space="preserve"> contro il Covid-19 rispetto alla Convenzione europea</w:t>
      </w:r>
      <w:r w:rsidRPr="000D593D">
        <w:rPr>
          <w:rStyle w:val="Rimandonotaapidipagina"/>
          <w:rFonts w:ascii="Garamond" w:hAnsi="Garamond"/>
          <w:spacing w:val="-6"/>
          <w:sz w:val="24"/>
          <w:szCs w:val="24"/>
        </w:rPr>
        <w:footnoteReference w:id="75"/>
      </w:r>
      <w:r w:rsidRPr="000D593D">
        <w:rPr>
          <w:rFonts w:ascii="Garamond" w:hAnsi="Garamond"/>
          <w:spacing w:val="-6"/>
          <w:sz w:val="24"/>
          <w:szCs w:val="24"/>
        </w:rPr>
        <w:t>.</w:t>
      </w:r>
    </w:p>
    <w:p w14:paraId="7E503508" w14:textId="512162E0" w:rsidR="0061721E" w:rsidRPr="000D593D" w:rsidRDefault="00656A51" w:rsidP="0061721E">
      <w:pPr>
        <w:spacing w:after="0" w:line="240" w:lineRule="auto"/>
        <w:ind w:firstLine="567"/>
        <w:jc w:val="both"/>
        <w:rPr>
          <w:rFonts w:ascii="Garamond" w:hAnsi="Garamond"/>
          <w:spacing w:val="-6"/>
          <w:sz w:val="24"/>
          <w:szCs w:val="24"/>
        </w:rPr>
      </w:pPr>
      <w:r w:rsidRPr="000D593D">
        <w:rPr>
          <w:rFonts w:ascii="Garamond" w:hAnsi="Garamond"/>
          <w:spacing w:val="-6"/>
          <w:sz w:val="24"/>
          <w:szCs w:val="24"/>
        </w:rPr>
        <w:lastRenderedPageBreak/>
        <w:t>Più recentemente la tematica dell’esitanza vaccinale nel quadro del bilanciamento tra libertà individuali e salute collettiva è stata nuovamente affrontata dalla Corte europea dei diritti umani</w:t>
      </w:r>
      <w:r w:rsidRPr="000D593D">
        <w:rPr>
          <w:rStyle w:val="Rimandonotaapidipagina"/>
          <w:rFonts w:ascii="Garamond" w:hAnsi="Garamond"/>
          <w:spacing w:val="-6"/>
          <w:sz w:val="24"/>
          <w:szCs w:val="24"/>
        </w:rPr>
        <w:footnoteReference w:id="76"/>
      </w:r>
      <w:r w:rsidRPr="000D593D">
        <w:rPr>
          <w:rFonts w:ascii="Garamond" w:hAnsi="Garamond"/>
          <w:spacing w:val="-6"/>
          <w:sz w:val="24"/>
          <w:szCs w:val="24"/>
        </w:rPr>
        <w:t xml:space="preserve"> nel caso Zambrano c. Francia, con un ragionamento </w:t>
      </w:r>
      <w:r w:rsidR="00111F1C" w:rsidRPr="000D593D">
        <w:rPr>
          <w:rFonts w:ascii="Garamond" w:hAnsi="Garamond"/>
          <w:spacing w:val="-6"/>
          <w:sz w:val="24"/>
          <w:szCs w:val="24"/>
        </w:rPr>
        <w:t>pressoché analogo</w:t>
      </w:r>
      <w:r w:rsidRPr="000D593D">
        <w:rPr>
          <w:rFonts w:ascii="Garamond" w:hAnsi="Garamond"/>
          <w:spacing w:val="-6"/>
          <w:sz w:val="24"/>
          <w:szCs w:val="24"/>
        </w:rPr>
        <w:t xml:space="preserve"> a quello seguito nella decisione </w:t>
      </w:r>
      <w:proofErr w:type="spellStart"/>
      <w:r w:rsidRPr="000D593D">
        <w:rPr>
          <w:rFonts w:ascii="Garamond" w:hAnsi="Garamond"/>
          <w:i/>
          <w:spacing w:val="-6"/>
          <w:sz w:val="24"/>
          <w:szCs w:val="24"/>
        </w:rPr>
        <w:t>Vavricka</w:t>
      </w:r>
      <w:proofErr w:type="spellEnd"/>
      <w:r w:rsidRPr="000D593D">
        <w:rPr>
          <w:rFonts w:ascii="Garamond" w:hAnsi="Garamond"/>
          <w:spacing w:val="-6"/>
          <w:sz w:val="24"/>
          <w:szCs w:val="24"/>
        </w:rPr>
        <w:t xml:space="preserve">. </w:t>
      </w:r>
    </w:p>
    <w:p w14:paraId="3DD9B187" w14:textId="496CDBF9" w:rsidR="00EC6134" w:rsidRPr="000D593D" w:rsidRDefault="00656A51" w:rsidP="0061721E">
      <w:pPr>
        <w:spacing w:after="0" w:line="240" w:lineRule="auto"/>
        <w:ind w:firstLine="567"/>
        <w:jc w:val="both"/>
        <w:rPr>
          <w:rFonts w:ascii="Garamond" w:hAnsi="Garamond"/>
          <w:spacing w:val="-6"/>
          <w:sz w:val="24"/>
          <w:szCs w:val="24"/>
        </w:rPr>
      </w:pPr>
      <w:r w:rsidRPr="000D593D">
        <w:rPr>
          <w:rFonts w:ascii="Garamond" w:hAnsi="Garamond"/>
          <w:spacing w:val="-6"/>
          <w:sz w:val="24"/>
          <w:szCs w:val="24"/>
        </w:rPr>
        <w:t xml:space="preserve">Il ricorrente francese Zambrano, infatti, ha adito la Corte europea dei diritti umani affinché dichiarasse l’illegittimità </w:t>
      </w:r>
      <w:proofErr w:type="gramStart"/>
      <w:r w:rsidRPr="000D593D">
        <w:rPr>
          <w:rFonts w:ascii="Garamond" w:hAnsi="Garamond"/>
          <w:spacing w:val="-6"/>
          <w:sz w:val="24"/>
          <w:szCs w:val="24"/>
        </w:rPr>
        <w:t xml:space="preserve">del </w:t>
      </w:r>
      <w:r w:rsidRPr="000D593D">
        <w:rPr>
          <w:rFonts w:ascii="Garamond" w:hAnsi="Garamond"/>
          <w:i/>
          <w:spacing w:val="-6"/>
          <w:sz w:val="24"/>
          <w:szCs w:val="24"/>
        </w:rPr>
        <w:t>passe</w:t>
      </w:r>
      <w:proofErr w:type="gramEnd"/>
      <w:r w:rsidRPr="000D593D">
        <w:rPr>
          <w:rFonts w:ascii="Garamond" w:hAnsi="Garamond"/>
          <w:spacing w:val="-6"/>
          <w:sz w:val="24"/>
          <w:szCs w:val="24"/>
        </w:rPr>
        <w:t xml:space="preserve"> </w:t>
      </w:r>
      <w:proofErr w:type="spellStart"/>
      <w:r w:rsidRPr="000D593D">
        <w:rPr>
          <w:rFonts w:ascii="Garamond" w:hAnsi="Garamond"/>
          <w:i/>
          <w:spacing w:val="-6"/>
          <w:sz w:val="24"/>
          <w:szCs w:val="24"/>
        </w:rPr>
        <w:t>sanitaire</w:t>
      </w:r>
      <w:proofErr w:type="spellEnd"/>
      <w:r w:rsidRPr="000D593D">
        <w:rPr>
          <w:rFonts w:ascii="Garamond" w:hAnsi="Garamond"/>
          <w:spacing w:val="-6"/>
          <w:sz w:val="24"/>
          <w:szCs w:val="24"/>
        </w:rPr>
        <w:t xml:space="preserve">, richiedendo ai giudici di censurare le disposizioni della </w:t>
      </w:r>
      <w:proofErr w:type="spellStart"/>
      <w:r w:rsidRPr="000D593D">
        <w:rPr>
          <w:rFonts w:ascii="Garamond" w:hAnsi="Garamond"/>
          <w:spacing w:val="-6"/>
          <w:sz w:val="24"/>
          <w:szCs w:val="24"/>
        </w:rPr>
        <w:t>loi</w:t>
      </w:r>
      <w:proofErr w:type="spellEnd"/>
      <w:r w:rsidRPr="000D593D">
        <w:rPr>
          <w:rFonts w:ascii="Garamond" w:hAnsi="Garamond"/>
          <w:spacing w:val="-6"/>
          <w:sz w:val="24"/>
          <w:szCs w:val="24"/>
        </w:rPr>
        <w:t xml:space="preserve"> n. 2021-689 </w:t>
      </w:r>
      <w:proofErr w:type="spellStart"/>
      <w:r w:rsidRPr="000D593D">
        <w:rPr>
          <w:rFonts w:ascii="Garamond" w:hAnsi="Garamond"/>
          <w:spacing w:val="-6"/>
          <w:sz w:val="24"/>
          <w:szCs w:val="24"/>
        </w:rPr>
        <w:t>du</w:t>
      </w:r>
      <w:proofErr w:type="spellEnd"/>
      <w:r w:rsidRPr="000D593D">
        <w:rPr>
          <w:rFonts w:ascii="Garamond" w:hAnsi="Garamond"/>
          <w:spacing w:val="-6"/>
          <w:sz w:val="24"/>
          <w:szCs w:val="24"/>
        </w:rPr>
        <w:t xml:space="preserve"> 31 mai 2021 e della </w:t>
      </w:r>
      <w:proofErr w:type="spellStart"/>
      <w:r w:rsidRPr="000D593D">
        <w:rPr>
          <w:rFonts w:ascii="Garamond" w:hAnsi="Garamond"/>
          <w:spacing w:val="-6"/>
          <w:sz w:val="24"/>
          <w:szCs w:val="24"/>
        </w:rPr>
        <w:t>loi</w:t>
      </w:r>
      <w:proofErr w:type="spellEnd"/>
      <w:r w:rsidRPr="000D593D">
        <w:rPr>
          <w:rFonts w:ascii="Garamond" w:hAnsi="Garamond"/>
          <w:spacing w:val="-6"/>
          <w:sz w:val="24"/>
          <w:szCs w:val="24"/>
        </w:rPr>
        <w:t xml:space="preserve"> n. 2021-1040 </w:t>
      </w:r>
      <w:proofErr w:type="spellStart"/>
      <w:r w:rsidRPr="000D593D">
        <w:rPr>
          <w:rFonts w:ascii="Garamond" w:hAnsi="Garamond"/>
          <w:spacing w:val="-6"/>
          <w:sz w:val="24"/>
          <w:szCs w:val="24"/>
        </w:rPr>
        <w:t>du</w:t>
      </w:r>
      <w:proofErr w:type="spellEnd"/>
      <w:r w:rsidRPr="000D593D">
        <w:rPr>
          <w:rFonts w:ascii="Garamond" w:hAnsi="Garamond"/>
          <w:spacing w:val="-6"/>
          <w:sz w:val="24"/>
          <w:szCs w:val="24"/>
        </w:rPr>
        <w:t xml:space="preserve"> 5 </w:t>
      </w:r>
      <w:proofErr w:type="spellStart"/>
      <w:r w:rsidRPr="000D593D">
        <w:rPr>
          <w:rFonts w:ascii="Garamond" w:hAnsi="Garamond"/>
          <w:spacing w:val="-6"/>
          <w:sz w:val="24"/>
          <w:szCs w:val="24"/>
        </w:rPr>
        <w:t>août</w:t>
      </w:r>
      <w:proofErr w:type="spellEnd"/>
      <w:r w:rsidRPr="000D593D">
        <w:rPr>
          <w:rFonts w:ascii="Garamond" w:hAnsi="Garamond"/>
          <w:spacing w:val="-6"/>
          <w:sz w:val="24"/>
          <w:szCs w:val="24"/>
        </w:rPr>
        <w:t xml:space="preserve"> 2021, in quanto in presunta violazione degli artt. 3, 8 e 14 della Convenzione, incluso l’art. 1 del Protocollo addizionale n. 12 alla CEDU. </w:t>
      </w:r>
    </w:p>
    <w:p w14:paraId="24437900" w14:textId="74704521" w:rsidR="008878AE" w:rsidRDefault="00656A51" w:rsidP="000D593D">
      <w:pPr>
        <w:widowControl w:val="0"/>
        <w:spacing w:after="0" w:line="240" w:lineRule="auto"/>
        <w:ind w:firstLine="567"/>
        <w:jc w:val="both"/>
        <w:rPr>
          <w:rFonts w:ascii="Garamond" w:hAnsi="Garamond"/>
          <w:sz w:val="24"/>
          <w:szCs w:val="24"/>
        </w:rPr>
      </w:pPr>
      <w:r w:rsidRPr="000D593D">
        <w:rPr>
          <w:rFonts w:ascii="Garamond" w:hAnsi="Garamond"/>
          <w:spacing w:val="-6"/>
          <w:sz w:val="24"/>
          <w:szCs w:val="24"/>
        </w:rPr>
        <w:t xml:space="preserve">I giudici di Strasburgo - tornati a pronunciarsi sulla compatibilità della </w:t>
      </w:r>
      <w:proofErr w:type="gramStart"/>
      <w:r w:rsidRPr="000D593D">
        <w:rPr>
          <w:rFonts w:ascii="Garamond" w:hAnsi="Garamond"/>
          <w:spacing w:val="-6"/>
          <w:sz w:val="24"/>
          <w:szCs w:val="24"/>
        </w:rPr>
        <w:t>predetta</w:t>
      </w:r>
      <w:proofErr w:type="gramEnd"/>
      <w:r w:rsidRPr="00405153">
        <w:rPr>
          <w:rFonts w:ascii="Garamond" w:hAnsi="Garamond"/>
          <w:sz w:val="24"/>
          <w:szCs w:val="24"/>
        </w:rPr>
        <w:t xml:space="preserve"> normativa con la CEDU, a seguito del cautelare</w:t>
      </w:r>
      <w:r>
        <w:rPr>
          <w:rStyle w:val="Rimandonotaapidipagina"/>
          <w:rFonts w:ascii="Garamond" w:hAnsi="Garamond"/>
          <w:sz w:val="24"/>
          <w:szCs w:val="24"/>
        </w:rPr>
        <w:footnoteReference w:id="77"/>
      </w:r>
      <w:r w:rsidRPr="00405153">
        <w:rPr>
          <w:rFonts w:ascii="Garamond" w:hAnsi="Garamond"/>
          <w:sz w:val="24"/>
          <w:szCs w:val="24"/>
        </w:rPr>
        <w:t xml:space="preserve"> </w:t>
      </w:r>
      <w:proofErr w:type="spellStart"/>
      <w:r w:rsidRPr="00405153">
        <w:rPr>
          <w:rFonts w:ascii="Garamond" w:hAnsi="Garamond"/>
          <w:i/>
          <w:sz w:val="24"/>
          <w:szCs w:val="24"/>
        </w:rPr>
        <w:t>Abgrall</w:t>
      </w:r>
      <w:proofErr w:type="spellEnd"/>
      <w:r w:rsidRPr="00405153">
        <w:rPr>
          <w:rFonts w:ascii="Garamond" w:hAnsi="Garamond"/>
          <w:i/>
          <w:sz w:val="24"/>
          <w:szCs w:val="24"/>
        </w:rPr>
        <w:t xml:space="preserve"> and </w:t>
      </w:r>
      <w:r w:rsidR="004712BB">
        <w:rPr>
          <w:rFonts w:ascii="Garamond" w:hAnsi="Garamond"/>
          <w:i/>
          <w:sz w:val="24"/>
          <w:szCs w:val="24"/>
        </w:rPr>
        <w:t xml:space="preserve">672 </w:t>
      </w:r>
      <w:proofErr w:type="spellStart"/>
      <w:r w:rsidRPr="00405153">
        <w:rPr>
          <w:rFonts w:ascii="Garamond" w:hAnsi="Garamond"/>
          <w:i/>
          <w:sz w:val="24"/>
          <w:szCs w:val="24"/>
        </w:rPr>
        <w:t>others</w:t>
      </w:r>
      <w:proofErr w:type="spellEnd"/>
      <w:r w:rsidRPr="00405153">
        <w:rPr>
          <w:rFonts w:ascii="Garamond" w:hAnsi="Garamond"/>
          <w:i/>
          <w:sz w:val="24"/>
          <w:szCs w:val="24"/>
        </w:rPr>
        <w:t xml:space="preserve"> v. France</w:t>
      </w:r>
      <w:r w:rsidRPr="00405153">
        <w:rPr>
          <w:rStyle w:val="Rimandonotaapidipagina"/>
          <w:rFonts w:ascii="Garamond" w:hAnsi="Garamond"/>
          <w:i/>
          <w:sz w:val="24"/>
          <w:szCs w:val="24"/>
        </w:rPr>
        <w:footnoteReference w:id="78"/>
      </w:r>
      <w:r w:rsidRPr="00405153">
        <w:rPr>
          <w:rFonts w:ascii="Garamond" w:hAnsi="Garamond"/>
          <w:sz w:val="24"/>
          <w:szCs w:val="24"/>
        </w:rPr>
        <w:t xml:space="preserve"> (seppur incentrato su </w:t>
      </w:r>
      <w:r w:rsidRPr="00405153">
        <w:rPr>
          <w:rFonts w:ascii="Garamond" w:hAnsi="Garamond"/>
          <w:sz w:val="24"/>
          <w:szCs w:val="24"/>
        </w:rPr>
        <w:lastRenderedPageBreak/>
        <w:t xml:space="preserve">porzioni diverse della normativa) - hanno ribadito, ancora una volta, la conformità delle disposizioni nazionali rispetto ai diritti e alle libertà sanciti dalla Convenzione, richiamando (perlomeno parzialmente) il percorso logico-giuridico già seguito dal </w:t>
      </w:r>
      <w:proofErr w:type="spellStart"/>
      <w:r w:rsidRPr="00405153">
        <w:rPr>
          <w:rFonts w:ascii="Garamond" w:hAnsi="Garamond"/>
          <w:i/>
          <w:sz w:val="24"/>
          <w:szCs w:val="24"/>
        </w:rPr>
        <w:t>Conseil</w:t>
      </w:r>
      <w:proofErr w:type="spellEnd"/>
      <w:r w:rsidRPr="00405153">
        <w:rPr>
          <w:rFonts w:ascii="Garamond" w:hAnsi="Garamond"/>
          <w:sz w:val="24"/>
          <w:szCs w:val="24"/>
        </w:rPr>
        <w:t xml:space="preserve"> n</w:t>
      </w:r>
      <w:r w:rsidR="008878AE">
        <w:rPr>
          <w:rFonts w:ascii="Garamond" w:hAnsi="Garamond"/>
          <w:sz w:val="24"/>
          <w:szCs w:val="24"/>
        </w:rPr>
        <w:t xml:space="preserve">ella decisione commentata. </w:t>
      </w:r>
    </w:p>
    <w:p w14:paraId="60652CAC" w14:textId="08DAFFD3" w:rsidR="0061721E" w:rsidRDefault="00656A51" w:rsidP="008878AE">
      <w:pPr>
        <w:spacing w:after="0" w:line="240" w:lineRule="auto"/>
        <w:ind w:firstLine="567"/>
        <w:jc w:val="both"/>
        <w:rPr>
          <w:rFonts w:ascii="Garamond" w:hAnsi="Garamond"/>
          <w:sz w:val="24"/>
          <w:szCs w:val="24"/>
        </w:rPr>
      </w:pPr>
      <w:r w:rsidRPr="00405153">
        <w:rPr>
          <w:rFonts w:ascii="Garamond" w:hAnsi="Garamond"/>
          <w:sz w:val="24"/>
          <w:szCs w:val="24"/>
        </w:rPr>
        <w:t xml:space="preserve">Nella specie, il ricorrente, in segno di protesta verso l’introduzione e la graduale estensione </w:t>
      </w:r>
      <w:proofErr w:type="gramStart"/>
      <w:r w:rsidRPr="00405153">
        <w:rPr>
          <w:rFonts w:ascii="Garamond" w:hAnsi="Garamond"/>
          <w:sz w:val="24"/>
          <w:szCs w:val="24"/>
        </w:rPr>
        <w:t xml:space="preserve">del </w:t>
      </w:r>
      <w:r w:rsidRPr="00405153">
        <w:rPr>
          <w:rFonts w:ascii="Garamond" w:hAnsi="Garamond"/>
          <w:i/>
          <w:sz w:val="24"/>
          <w:szCs w:val="24"/>
        </w:rPr>
        <w:t>passe</w:t>
      </w:r>
      <w:proofErr w:type="gramEnd"/>
      <w:r w:rsidRPr="00405153">
        <w:rPr>
          <w:rFonts w:ascii="Garamond" w:hAnsi="Garamond"/>
          <w:i/>
          <w:sz w:val="24"/>
          <w:szCs w:val="24"/>
        </w:rPr>
        <w:t xml:space="preserve"> </w:t>
      </w:r>
      <w:proofErr w:type="spellStart"/>
      <w:r w:rsidRPr="00405153">
        <w:rPr>
          <w:rFonts w:ascii="Garamond" w:hAnsi="Garamond"/>
          <w:i/>
          <w:sz w:val="24"/>
          <w:szCs w:val="24"/>
        </w:rPr>
        <w:t>sanitaire</w:t>
      </w:r>
      <w:proofErr w:type="spellEnd"/>
      <w:r w:rsidRPr="00405153">
        <w:rPr>
          <w:rFonts w:ascii="Garamond" w:hAnsi="Garamond"/>
          <w:sz w:val="24"/>
          <w:szCs w:val="24"/>
        </w:rPr>
        <w:t xml:space="preserve"> in Francia, aveva fondato un sito web intitolato </w:t>
      </w:r>
      <w:r w:rsidRPr="00405153">
        <w:rPr>
          <w:rFonts w:ascii="Garamond" w:hAnsi="Garamond"/>
          <w:i/>
          <w:sz w:val="24"/>
          <w:szCs w:val="24"/>
        </w:rPr>
        <w:t>nopass.fr</w:t>
      </w:r>
      <w:r w:rsidRPr="00405153">
        <w:rPr>
          <w:rFonts w:ascii="Garamond" w:hAnsi="Garamond"/>
          <w:sz w:val="24"/>
          <w:szCs w:val="24"/>
        </w:rPr>
        <w:t xml:space="preserve"> !!!, all’interno del quale invitava gli utenti a sottoscrivere un’apposita istanza precompilata da inoltrare collettivamente alla Corte, allo scopo, esplicitamente da lui dichiarato, non di far valere un diritto, bensì di paralizzare</w:t>
      </w:r>
      <w:r w:rsidRPr="00405153">
        <w:rPr>
          <w:rStyle w:val="Rimandonotaapidipagina"/>
          <w:rFonts w:ascii="Garamond" w:hAnsi="Garamond"/>
          <w:sz w:val="24"/>
          <w:szCs w:val="24"/>
        </w:rPr>
        <w:footnoteReference w:id="79"/>
      </w:r>
      <w:r w:rsidRPr="00405153">
        <w:rPr>
          <w:rFonts w:ascii="Garamond" w:hAnsi="Garamond"/>
          <w:sz w:val="24"/>
          <w:szCs w:val="24"/>
        </w:rPr>
        <w:t xml:space="preserve"> l’attività del presente organo giurisdizionale, </w:t>
      </w:r>
      <w:r w:rsidR="00A424E5">
        <w:rPr>
          <w:rFonts w:ascii="Garamond" w:hAnsi="Garamond"/>
          <w:sz w:val="24"/>
          <w:szCs w:val="24"/>
        </w:rPr>
        <w:t>“</w:t>
      </w:r>
      <w:r w:rsidRPr="00405153">
        <w:rPr>
          <w:rFonts w:ascii="Garamond" w:hAnsi="Garamond"/>
          <w:sz w:val="24"/>
          <w:szCs w:val="24"/>
        </w:rPr>
        <w:t>deragliando</w:t>
      </w:r>
      <w:r w:rsidR="00A424E5">
        <w:rPr>
          <w:rFonts w:ascii="Garamond" w:hAnsi="Garamond"/>
          <w:sz w:val="24"/>
          <w:szCs w:val="24"/>
        </w:rPr>
        <w:t>”</w:t>
      </w:r>
      <w:r w:rsidRPr="00405153">
        <w:rPr>
          <w:rFonts w:ascii="Garamond" w:hAnsi="Garamond"/>
          <w:sz w:val="24"/>
          <w:szCs w:val="24"/>
        </w:rPr>
        <w:t xml:space="preserve"> il sistema</w:t>
      </w:r>
    </w:p>
    <w:p w14:paraId="6B187E70" w14:textId="5D355F8C" w:rsidR="0061721E"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Il ricorso, affetto da vizi sostanziali e procedurali, è stato dichiarato irricevibile dai giudici della CEDU</w:t>
      </w:r>
      <w:r w:rsidR="00D36836">
        <w:rPr>
          <w:rFonts w:ascii="Garamond" w:hAnsi="Garamond"/>
          <w:sz w:val="24"/>
          <w:szCs w:val="24"/>
        </w:rPr>
        <w:t>.</w:t>
      </w:r>
    </w:p>
    <w:p w14:paraId="50304B9B" w14:textId="77777777" w:rsidR="00D36836"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In primo luogo, la </w:t>
      </w:r>
      <w:r w:rsidR="00A424E5">
        <w:rPr>
          <w:rFonts w:ascii="Garamond" w:hAnsi="Garamond"/>
          <w:sz w:val="24"/>
          <w:szCs w:val="24"/>
        </w:rPr>
        <w:t>“</w:t>
      </w:r>
      <w:r w:rsidRPr="00405153">
        <w:rPr>
          <w:rFonts w:ascii="Garamond" w:hAnsi="Garamond"/>
          <w:sz w:val="24"/>
          <w:szCs w:val="24"/>
        </w:rPr>
        <w:t>strategia giudiziaria</w:t>
      </w:r>
      <w:r w:rsidR="00A424E5">
        <w:rPr>
          <w:rFonts w:ascii="Garamond" w:hAnsi="Garamond"/>
          <w:sz w:val="24"/>
          <w:szCs w:val="24"/>
        </w:rPr>
        <w:t>”</w:t>
      </w:r>
      <w:r w:rsidRPr="00405153">
        <w:rPr>
          <w:rFonts w:ascii="Garamond" w:hAnsi="Garamond"/>
          <w:sz w:val="24"/>
          <w:szCs w:val="24"/>
        </w:rPr>
        <w:t xml:space="preserve"> del ricorrente intesa a congestionare il funzionamento della Corte europea dei diritti umani, indirizzando alla Corte (tramite la firma del modulo standardizzato sul sito </w:t>
      </w:r>
      <w:r w:rsidRPr="00405153">
        <w:rPr>
          <w:rFonts w:ascii="Garamond" w:hAnsi="Garamond"/>
          <w:i/>
          <w:sz w:val="24"/>
          <w:szCs w:val="24"/>
        </w:rPr>
        <w:t>web</w:t>
      </w:r>
      <w:r w:rsidRPr="00405153">
        <w:rPr>
          <w:rFonts w:ascii="Garamond" w:hAnsi="Garamond"/>
          <w:sz w:val="24"/>
          <w:szCs w:val="24"/>
        </w:rPr>
        <w:t xml:space="preserve">) approssimativamente diciottomila domande, ha costituito, ad avviso della quinta sezione di Strasburgo, un abuso del diritto di presentare un ricorso e dichiarato in contrasto con lo spirito della Convenzione </w:t>
      </w:r>
      <w:r w:rsidRPr="00405153">
        <w:rPr>
          <w:rFonts w:ascii="Garamond" w:hAnsi="Garamond"/>
          <w:i/>
          <w:sz w:val="24"/>
          <w:szCs w:val="24"/>
        </w:rPr>
        <w:t>ex</w:t>
      </w:r>
      <w:r w:rsidRPr="00405153">
        <w:rPr>
          <w:rFonts w:ascii="Garamond" w:hAnsi="Garamond"/>
          <w:sz w:val="24"/>
          <w:szCs w:val="24"/>
        </w:rPr>
        <w:t xml:space="preserve"> art. 35 par. 3 lett. a). </w:t>
      </w:r>
      <w:r w:rsidR="00D819DD">
        <w:rPr>
          <w:rFonts w:ascii="Garamond" w:hAnsi="Garamond"/>
          <w:sz w:val="24"/>
          <w:szCs w:val="24"/>
        </w:rPr>
        <w:t xml:space="preserve">             </w:t>
      </w:r>
      <w:r w:rsidRPr="00405153">
        <w:rPr>
          <w:rFonts w:ascii="Garamond" w:hAnsi="Garamond"/>
          <w:sz w:val="24"/>
          <w:szCs w:val="24"/>
        </w:rPr>
        <w:t>A questo riguardo, la Corte europea aveva suggerito mediante posta elettronica al ricorrente di correggere alcuni elementi del ricorso, per avere maggiori probabilità che esso venisse esaminato (ed eventualmente accolto), senza però alcun risultato.</w:t>
      </w:r>
    </w:p>
    <w:p w14:paraId="5D3B8756" w14:textId="67D1474F" w:rsidR="0061721E"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In secondo luogo, </w:t>
      </w:r>
      <w:r>
        <w:rPr>
          <w:rFonts w:ascii="Garamond" w:hAnsi="Garamond"/>
          <w:sz w:val="24"/>
          <w:szCs w:val="24"/>
        </w:rPr>
        <w:t xml:space="preserve">il </w:t>
      </w:r>
      <w:proofErr w:type="gramStart"/>
      <w:r>
        <w:rPr>
          <w:rFonts w:ascii="Garamond" w:hAnsi="Garamond"/>
          <w:sz w:val="24"/>
          <w:szCs w:val="24"/>
        </w:rPr>
        <w:t>predetto</w:t>
      </w:r>
      <w:proofErr w:type="gramEnd"/>
      <w:r>
        <w:rPr>
          <w:rFonts w:ascii="Garamond" w:hAnsi="Garamond"/>
          <w:sz w:val="24"/>
          <w:szCs w:val="24"/>
        </w:rPr>
        <w:t xml:space="preserve"> organo giurisdizionale</w:t>
      </w:r>
      <w:r w:rsidRPr="00405153">
        <w:rPr>
          <w:rFonts w:ascii="Garamond" w:hAnsi="Garamond"/>
          <w:sz w:val="24"/>
          <w:szCs w:val="24"/>
        </w:rPr>
        <w:t xml:space="preserve"> ha ravvisato che l’attore non aveva soddisfatto il (requisito procedurale del) previo esaurimento dei ricorsi interni, non avendo ancora adito in appello il giudice amministrativo nazionale affinché si pronunciasse sulla conformità della normativa ordinaria rispetto alla Costituzione, come disposto dall’art.</w:t>
      </w:r>
      <w:r w:rsidRPr="00405153">
        <w:rPr>
          <w:rFonts w:ascii="Garamond" w:hAnsi="Garamond"/>
          <w:i/>
          <w:sz w:val="24"/>
          <w:szCs w:val="24"/>
        </w:rPr>
        <w:t xml:space="preserve"> </w:t>
      </w:r>
      <w:r w:rsidRPr="00405153">
        <w:rPr>
          <w:rFonts w:ascii="Garamond" w:hAnsi="Garamond"/>
          <w:sz w:val="24"/>
          <w:szCs w:val="24"/>
        </w:rPr>
        <w:t xml:space="preserve">35 par. 1 CEDU. </w:t>
      </w:r>
    </w:p>
    <w:p w14:paraId="44830216" w14:textId="62A97EE9" w:rsidR="0061721E"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In terzo luogo, in merito al requisito di vittima </w:t>
      </w:r>
      <w:r w:rsidRPr="00405153">
        <w:rPr>
          <w:rFonts w:ascii="Garamond" w:hAnsi="Garamond"/>
          <w:i/>
          <w:sz w:val="24"/>
          <w:szCs w:val="24"/>
        </w:rPr>
        <w:t>ex</w:t>
      </w:r>
      <w:r w:rsidRPr="00405153">
        <w:rPr>
          <w:rFonts w:ascii="Garamond" w:hAnsi="Garamond"/>
          <w:sz w:val="24"/>
          <w:szCs w:val="24"/>
        </w:rPr>
        <w:t xml:space="preserve"> art. 34 CEDU la Corte ne ha riscontrato l’insussistenza, in quanto il ricorrente non avrebbe allegato alcun pregiudizio di particolare pregnanza subito rispetto alla CEDU, né operato alcun riferimento alle sue condizioni di salute, e di conseguenza spiegato, come le disposizioni contestate avrebbero potuto colpirlo direttamente. L’attore aveva, infatti, contestato solo </w:t>
      </w:r>
      <w:r w:rsidRPr="00405153">
        <w:rPr>
          <w:rFonts w:ascii="Garamond" w:hAnsi="Garamond"/>
          <w:i/>
          <w:sz w:val="24"/>
          <w:szCs w:val="24"/>
        </w:rPr>
        <w:t>in</w:t>
      </w:r>
      <w:r w:rsidRPr="00405153">
        <w:rPr>
          <w:rFonts w:ascii="Garamond" w:hAnsi="Garamond"/>
          <w:sz w:val="24"/>
          <w:szCs w:val="24"/>
        </w:rPr>
        <w:t xml:space="preserve"> </w:t>
      </w:r>
      <w:proofErr w:type="spellStart"/>
      <w:r w:rsidRPr="00405153">
        <w:rPr>
          <w:rFonts w:ascii="Garamond" w:hAnsi="Garamond"/>
          <w:i/>
          <w:sz w:val="24"/>
          <w:szCs w:val="24"/>
        </w:rPr>
        <w:t>abstracto</w:t>
      </w:r>
      <w:proofErr w:type="spellEnd"/>
      <w:r w:rsidRPr="00405153">
        <w:rPr>
          <w:rFonts w:ascii="Garamond" w:hAnsi="Garamond"/>
          <w:sz w:val="24"/>
          <w:szCs w:val="24"/>
        </w:rPr>
        <w:t xml:space="preserve"> l’inadeguatezza della legge sulla gestione della crisi sanitaria francese del 5 agosto 2021, senza operare riferimento alcuno alla personale situazione clinica. </w:t>
      </w:r>
    </w:p>
    <w:p w14:paraId="1DA83966" w14:textId="77777777" w:rsidR="0061721E"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Inoltre, relativamente alle censure mosse all’art. 3 della Carta, il Collegio, non ha riscontrato alcuna violazione dello stesso, in quanto il ricorrente non aveva dimostrato l'esistenza di una coercizione esercitata su di lui, in qualità di persona che non desidera essere vaccinata. Peraltro, i giudici internazionali, facendo tesoro dell’orientamento del </w:t>
      </w:r>
      <w:proofErr w:type="spellStart"/>
      <w:r w:rsidRPr="00405153">
        <w:rPr>
          <w:rFonts w:ascii="Garamond" w:hAnsi="Garamond"/>
          <w:i/>
          <w:sz w:val="24"/>
          <w:szCs w:val="24"/>
        </w:rPr>
        <w:t>Conseil</w:t>
      </w:r>
      <w:proofErr w:type="spellEnd"/>
      <w:r w:rsidRPr="00405153">
        <w:rPr>
          <w:rFonts w:ascii="Garamond" w:hAnsi="Garamond"/>
          <w:i/>
          <w:sz w:val="24"/>
          <w:szCs w:val="24"/>
        </w:rPr>
        <w:t xml:space="preserve"> </w:t>
      </w:r>
      <w:proofErr w:type="spellStart"/>
      <w:r w:rsidRPr="00405153">
        <w:rPr>
          <w:rFonts w:ascii="Garamond" w:hAnsi="Garamond"/>
          <w:i/>
          <w:sz w:val="24"/>
          <w:szCs w:val="24"/>
        </w:rPr>
        <w:t>Constitutionnel</w:t>
      </w:r>
      <w:proofErr w:type="spellEnd"/>
      <w:r w:rsidRPr="00405153">
        <w:rPr>
          <w:rFonts w:ascii="Garamond" w:hAnsi="Garamond"/>
          <w:sz w:val="24"/>
          <w:szCs w:val="24"/>
        </w:rPr>
        <w:t xml:space="preserve"> hanno rilevato, come, seppur alcuni lavoratori soggetti ad alto rischio di esposizione al contagio fossero obbligati dalla legge a vaccinarsi, il ricorrente non rientrasse in queste categorie. La Corte ha poi chiarito che </w:t>
      </w:r>
      <w:proofErr w:type="gramStart"/>
      <w:r w:rsidRPr="00405153">
        <w:rPr>
          <w:rFonts w:ascii="Garamond" w:hAnsi="Garamond"/>
          <w:sz w:val="24"/>
          <w:szCs w:val="24"/>
        </w:rPr>
        <w:t xml:space="preserve">il </w:t>
      </w:r>
      <w:r w:rsidRPr="00405153">
        <w:rPr>
          <w:rFonts w:ascii="Garamond" w:hAnsi="Garamond"/>
          <w:i/>
          <w:sz w:val="24"/>
          <w:szCs w:val="24"/>
        </w:rPr>
        <w:t>passe</w:t>
      </w:r>
      <w:proofErr w:type="gramEnd"/>
      <w:r w:rsidRPr="00405153">
        <w:rPr>
          <w:rFonts w:ascii="Garamond" w:hAnsi="Garamond"/>
          <w:i/>
          <w:sz w:val="24"/>
          <w:szCs w:val="24"/>
        </w:rPr>
        <w:t xml:space="preserve"> </w:t>
      </w:r>
      <w:proofErr w:type="spellStart"/>
      <w:r w:rsidRPr="00405153">
        <w:rPr>
          <w:rFonts w:ascii="Garamond" w:hAnsi="Garamond"/>
          <w:i/>
          <w:sz w:val="24"/>
          <w:szCs w:val="24"/>
        </w:rPr>
        <w:t>sanitaire</w:t>
      </w:r>
      <w:proofErr w:type="spellEnd"/>
      <w:r w:rsidRPr="00405153">
        <w:rPr>
          <w:rFonts w:ascii="Garamond" w:hAnsi="Garamond"/>
          <w:sz w:val="24"/>
          <w:szCs w:val="24"/>
        </w:rPr>
        <w:t xml:space="preserve"> non istituisce alcun obbligo generale di vaccinazione, offrendo, piuttosto, l’opportunità ai cittadini di ottenerlo attraverso: il risultato negativo di un tampone; la vaccinazione; oppure la guarigione; prevedendo esenzioni dalla vaccinazione per chi presentasse specifiche condizioni cliniche documentate.</w:t>
      </w:r>
    </w:p>
    <w:p w14:paraId="76AFFDA2" w14:textId="7370C9F0" w:rsidR="0061721E" w:rsidRPr="000D593D" w:rsidRDefault="00656A51" w:rsidP="0061721E">
      <w:pPr>
        <w:spacing w:after="0" w:line="240" w:lineRule="auto"/>
        <w:ind w:firstLine="567"/>
        <w:jc w:val="both"/>
        <w:rPr>
          <w:rFonts w:ascii="Garamond" w:hAnsi="Garamond" w:cs="Times New Roman (Corpo CS)"/>
          <w:spacing w:val="-4"/>
          <w:sz w:val="24"/>
          <w:szCs w:val="24"/>
        </w:rPr>
      </w:pPr>
      <w:r w:rsidRPr="000D593D">
        <w:rPr>
          <w:rFonts w:ascii="Garamond" w:hAnsi="Garamond" w:cs="Times New Roman (Corpo CS)"/>
          <w:spacing w:val="-4"/>
          <w:sz w:val="24"/>
          <w:szCs w:val="24"/>
        </w:rPr>
        <w:t xml:space="preserve">Allo stesso modo, non è stata riscontrata alcuna violazione neppure dell’art. 8 CEDU, in quanto il ricorrente, come già accennato, non aveva precisato come le disposizioni della legge sulla gestione sanitaria avrebbero potuto costituire un’ingerenza illegittima nell’esercizio del </w:t>
      </w:r>
      <w:r w:rsidRPr="000D593D">
        <w:rPr>
          <w:rFonts w:ascii="Garamond" w:hAnsi="Garamond" w:cs="Times New Roman (Corpo CS)"/>
          <w:spacing w:val="-4"/>
          <w:sz w:val="24"/>
          <w:szCs w:val="24"/>
        </w:rPr>
        <w:lastRenderedPageBreak/>
        <w:t>diritto al rispetto della vita privata e familiare. Ciò seppur la Corte abbia più volte riconosciuto la vaccinazione come una misura che</w:t>
      </w:r>
      <w:r w:rsidR="00124FA5" w:rsidRPr="000D593D">
        <w:rPr>
          <w:rFonts w:ascii="Garamond" w:hAnsi="Garamond" w:cs="Times New Roman (Corpo CS)"/>
          <w:spacing w:val="-4"/>
          <w:sz w:val="24"/>
          <w:szCs w:val="24"/>
        </w:rPr>
        <w:t xml:space="preserve"> </w:t>
      </w:r>
      <w:r w:rsidRPr="000D593D">
        <w:rPr>
          <w:rFonts w:ascii="Garamond" w:hAnsi="Garamond" w:cs="Times New Roman (Corpo CS)"/>
          <w:spacing w:val="-4"/>
          <w:sz w:val="24"/>
          <w:szCs w:val="24"/>
        </w:rPr>
        <w:t xml:space="preserve">potenzialmente interferisce nell’esercizio del diritto al rispetto della vita privata e familiare </w:t>
      </w:r>
      <w:r w:rsidRPr="000D593D">
        <w:rPr>
          <w:rFonts w:ascii="Garamond" w:hAnsi="Garamond" w:cs="Times New Roman (Corpo CS)"/>
          <w:i/>
          <w:spacing w:val="-4"/>
          <w:sz w:val="24"/>
          <w:szCs w:val="24"/>
        </w:rPr>
        <w:t>ex</w:t>
      </w:r>
      <w:r w:rsidRPr="000D593D">
        <w:rPr>
          <w:rFonts w:ascii="Garamond" w:hAnsi="Garamond" w:cs="Times New Roman (Corpo CS)"/>
          <w:spacing w:val="-4"/>
          <w:sz w:val="24"/>
          <w:szCs w:val="24"/>
        </w:rPr>
        <w:t xml:space="preserve"> art. 8</w:t>
      </w:r>
      <w:r w:rsidRPr="000D593D">
        <w:rPr>
          <w:rStyle w:val="Rimandonotaapidipagina"/>
          <w:rFonts w:ascii="Garamond" w:hAnsi="Garamond" w:cs="Times New Roman (Corpo CS)"/>
          <w:spacing w:val="-4"/>
          <w:sz w:val="24"/>
          <w:szCs w:val="24"/>
        </w:rPr>
        <w:footnoteReference w:id="80"/>
      </w:r>
      <w:r w:rsidRPr="000D593D">
        <w:rPr>
          <w:rFonts w:ascii="Garamond" w:hAnsi="Garamond" w:cs="Times New Roman (Corpo CS)"/>
          <w:spacing w:val="-4"/>
          <w:sz w:val="24"/>
          <w:szCs w:val="24"/>
        </w:rPr>
        <w:t xml:space="preserve">, la cui legittimità va sempre valutata alla stregua dei parametri di cui all’art. 8 par. 2. Infine, non avendo la Francia ratificato il protocollo n. 12 della CEDU, la Corte non si è pronunciata in merito alla presunta violazione dell’art. 1. </w:t>
      </w:r>
    </w:p>
    <w:p w14:paraId="232311E9" w14:textId="48FFF4F9" w:rsidR="0061721E" w:rsidRPr="000D593D" w:rsidRDefault="00656A51" w:rsidP="0061721E">
      <w:pPr>
        <w:spacing w:after="0" w:line="240" w:lineRule="auto"/>
        <w:ind w:firstLine="567"/>
        <w:jc w:val="both"/>
        <w:rPr>
          <w:rFonts w:ascii="Garamond" w:hAnsi="Garamond" w:cs="Times New Roman (Corpo CS)"/>
          <w:spacing w:val="-4"/>
          <w:sz w:val="24"/>
          <w:szCs w:val="24"/>
        </w:rPr>
      </w:pPr>
      <w:r w:rsidRPr="000D593D">
        <w:rPr>
          <w:rFonts w:ascii="Garamond" w:hAnsi="Garamond" w:cs="Times New Roman (Corpo CS)"/>
          <w:spacing w:val="-4"/>
          <w:sz w:val="24"/>
          <w:szCs w:val="24"/>
        </w:rPr>
        <w:t xml:space="preserve">Per questi motivi, i giudici di Strasburgo hanno dichiarato inammissibile il presente ricorso. Tale pronuncia si pone, in linea con l’esigenza di tutelare la salute collettiva nel contesto di una pandemia globale ed in armonia con gli orientamenti del </w:t>
      </w:r>
      <w:proofErr w:type="spellStart"/>
      <w:r w:rsidRPr="000D593D">
        <w:rPr>
          <w:rFonts w:ascii="Garamond" w:hAnsi="Garamond" w:cs="Times New Roman (Corpo CS)"/>
          <w:i/>
          <w:spacing w:val="-4"/>
          <w:sz w:val="24"/>
          <w:szCs w:val="24"/>
        </w:rPr>
        <w:t>Conseil</w:t>
      </w:r>
      <w:proofErr w:type="spellEnd"/>
      <w:r w:rsidRPr="000D593D">
        <w:rPr>
          <w:rFonts w:ascii="Garamond" w:hAnsi="Garamond" w:cs="Times New Roman (Corpo CS)"/>
          <w:i/>
          <w:spacing w:val="-4"/>
          <w:sz w:val="24"/>
          <w:szCs w:val="24"/>
        </w:rPr>
        <w:t xml:space="preserve"> </w:t>
      </w:r>
      <w:proofErr w:type="spellStart"/>
      <w:r w:rsidRPr="000D593D">
        <w:rPr>
          <w:rFonts w:ascii="Garamond" w:hAnsi="Garamond" w:cs="Times New Roman (Corpo CS)"/>
          <w:i/>
          <w:spacing w:val="-4"/>
          <w:sz w:val="24"/>
          <w:szCs w:val="24"/>
        </w:rPr>
        <w:t>Constitutionnel</w:t>
      </w:r>
      <w:proofErr w:type="spellEnd"/>
      <w:r w:rsidRPr="000D593D">
        <w:rPr>
          <w:rFonts w:ascii="Garamond" w:hAnsi="Garamond" w:cs="Times New Roman (Corpo CS)"/>
          <w:spacing w:val="-4"/>
          <w:sz w:val="24"/>
          <w:szCs w:val="24"/>
        </w:rPr>
        <w:t xml:space="preserve">, che, da ultimo ha anche confermato nella </w:t>
      </w:r>
      <w:proofErr w:type="spellStart"/>
      <w:r w:rsidRPr="000D593D">
        <w:rPr>
          <w:rFonts w:ascii="Garamond" w:hAnsi="Garamond" w:cs="Times New Roman (Corpo CS)"/>
          <w:bCs/>
          <w:i/>
          <w:spacing w:val="-4"/>
          <w:sz w:val="24"/>
          <w:szCs w:val="24"/>
        </w:rPr>
        <w:t>Décision</w:t>
      </w:r>
      <w:proofErr w:type="spellEnd"/>
      <w:r w:rsidRPr="000D593D">
        <w:rPr>
          <w:rFonts w:ascii="Garamond" w:hAnsi="Garamond" w:cs="Times New Roman (Corpo CS)"/>
          <w:bCs/>
          <w:i/>
          <w:spacing w:val="-4"/>
          <w:sz w:val="24"/>
          <w:szCs w:val="24"/>
        </w:rPr>
        <w:t xml:space="preserve"> n° 2022-835 </w:t>
      </w:r>
      <w:r w:rsidRPr="000D593D">
        <w:rPr>
          <w:rFonts w:ascii="Garamond" w:hAnsi="Garamond" w:cs="Times New Roman (Corpo CS)"/>
          <w:spacing w:val="-4"/>
          <w:sz w:val="24"/>
          <w:szCs w:val="24"/>
        </w:rPr>
        <w:t xml:space="preserve">la legittimità del nuovo </w:t>
      </w:r>
      <w:r w:rsidRPr="000D593D">
        <w:rPr>
          <w:rFonts w:ascii="Garamond" w:hAnsi="Garamond" w:cs="Times New Roman (Corpo CS)"/>
          <w:i/>
          <w:spacing w:val="-4"/>
          <w:sz w:val="24"/>
          <w:szCs w:val="24"/>
        </w:rPr>
        <w:t xml:space="preserve">passe </w:t>
      </w:r>
      <w:proofErr w:type="spellStart"/>
      <w:r w:rsidRPr="000D593D">
        <w:rPr>
          <w:rFonts w:ascii="Garamond" w:hAnsi="Garamond" w:cs="Times New Roman (Corpo CS)"/>
          <w:i/>
          <w:spacing w:val="-4"/>
          <w:sz w:val="24"/>
          <w:szCs w:val="24"/>
        </w:rPr>
        <w:t>vaccinal</w:t>
      </w:r>
      <w:proofErr w:type="spellEnd"/>
      <w:r w:rsidRPr="000D593D">
        <w:rPr>
          <w:rFonts w:ascii="Garamond" w:hAnsi="Garamond" w:cs="Times New Roman (Corpo CS)"/>
          <w:spacing w:val="-4"/>
          <w:sz w:val="24"/>
          <w:szCs w:val="24"/>
        </w:rPr>
        <w:t xml:space="preserve"> (</w:t>
      </w:r>
      <w:proofErr w:type="gramStart"/>
      <w:r w:rsidRPr="000D593D">
        <w:rPr>
          <w:rFonts w:ascii="Garamond" w:hAnsi="Garamond" w:cs="Times New Roman (Corpo CS)"/>
          <w:spacing w:val="-4"/>
          <w:sz w:val="24"/>
          <w:szCs w:val="24"/>
        </w:rPr>
        <w:t xml:space="preserve">un </w:t>
      </w:r>
      <w:r w:rsidRPr="000D593D">
        <w:rPr>
          <w:rFonts w:ascii="Garamond" w:hAnsi="Garamond" w:cs="Times New Roman (Corpo CS)"/>
          <w:i/>
          <w:spacing w:val="-4"/>
          <w:sz w:val="24"/>
          <w:szCs w:val="24"/>
        </w:rPr>
        <w:t>passe</w:t>
      </w:r>
      <w:proofErr w:type="gramEnd"/>
      <w:r w:rsidRPr="000D593D">
        <w:rPr>
          <w:rFonts w:ascii="Garamond" w:hAnsi="Garamond" w:cs="Times New Roman (Corpo CS)"/>
          <w:i/>
          <w:spacing w:val="-4"/>
          <w:sz w:val="24"/>
          <w:szCs w:val="24"/>
        </w:rPr>
        <w:t xml:space="preserve"> </w:t>
      </w:r>
      <w:proofErr w:type="spellStart"/>
      <w:r w:rsidRPr="000D593D">
        <w:rPr>
          <w:rFonts w:ascii="Garamond" w:hAnsi="Garamond" w:cs="Times New Roman (Corpo CS)"/>
          <w:i/>
          <w:spacing w:val="-4"/>
          <w:sz w:val="24"/>
          <w:szCs w:val="24"/>
        </w:rPr>
        <w:t>sanitaire</w:t>
      </w:r>
      <w:proofErr w:type="spellEnd"/>
      <w:r w:rsidRPr="000D593D">
        <w:rPr>
          <w:rFonts w:ascii="Garamond" w:hAnsi="Garamond" w:cs="Times New Roman (Corpo CS)"/>
          <w:i/>
          <w:spacing w:val="-4"/>
          <w:sz w:val="24"/>
          <w:szCs w:val="24"/>
        </w:rPr>
        <w:t xml:space="preserve"> </w:t>
      </w:r>
      <w:r w:rsidR="00F326E9" w:rsidRPr="000D593D">
        <w:rPr>
          <w:rFonts w:ascii="Garamond" w:hAnsi="Garamond" w:cs="Times New Roman (Corpo CS)"/>
          <w:spacing w:val="-4"/>
          <w:sz w:val="24"/>
          <w:szCs w:val="24"/>
        </w:rPr>
        <w:t>“</w:t>
      </w:r>
      <w:r w:rsidRPr="000D593D">
        <w:rPr>
          <w:rFonts w:ascii="Garamond" w:hAnsi="Garamond" w:cs="Times New Roman (Corpo CS)"/>
          <w:spacing w:val="-4"/>
          <w:sz w:val="24"/>
          <w:szCs w:val="24"/>
        </w:rPr>
        <w:t>rafforzato</w:t>
      </w:r>
      <w:r w:rsidR="00F326E9" w:rsidRPr="000D593D">
        <w:rPr>
          <w:rFonts w:ascii="Garamond" w:hAnsi="Garamond" w:cs="Times New Roman (Corpo CS)"/>
          <w:spacing w:val="-4"/>
          <w:sz w:val="24"/>
          <w:szCs w:val="24"/>
        </w:rPr>
        <w:t>”</w:t>
      </w:r>
      <w:r w:rsidRPr="000D593D">
        <w:rPr>
          <w:rFonts w:ascii="Garamond" w:hAnsi="Garamond" w:cs="Times New Roman (Corpo CS)"/>
          <w:spacing w:val="-4"/>
          <w:sz w:val="24"/>
          <w:szCs w:val="24"/>
        </w:rPr>
        <w:t>, derivante stavolta solo dalla vaccinazione o dalla guarigione) rispetto all’architettura costituzionale (purché siano rispettate alcune rigorose condizioni</w:t>
      </w:r>
      <w:r w:rsidRPr="000D593D">
        <w:rPr>
          <w:rStyle w:val="Rimandonotaapidipagina"/>
          <w:rFonts w:ascii="Garamond" w:hAnsi="Garamond" w:cs="Times New Roman (Corpo CS)"/>
          <w:spacing w:val="-4"/>
          <w:sz w:val="24"/>
          <w:szCs w:val="24"/>
        </w:rPr>
        <w:footnoteReference w:id="81"/>
      </w:r>
      <w:r w:rsidRPr="000D593D">
        <w:rPr>
          <w:rFonts w:ascii="Garamond" w:hAnsi="Garamond" w:cs="Times New Roman (Corpo CS)"/>
          <w:spacing w:val="-4"/>
          <w:sz w:val="24"/>
          <w:szCs w:val="24"/>
        </w:rPr>
        <w:t xml:space="preserve">). </w:t>
      </w:r>
    </w:p>
    <w:p w14:paraId="4A383EC2" w14:textId="20457195" w:rsidR="00656A51" w:rsidRDefault="00656A51" w:rsidP="0061721E">
      <w:pPr>
        <w:spacing w:after="0" w:line="240" w:lineRule="auto"/>
        <w:ind w:firstLine="567"/>
        <w:jc w:val="both"/>
        <w:rPr>
          <w:rFonts w:ascii="Garamond" w:hAnsi="Garamond"/>
          <w:sz w:val="24"/>
          <w:szCs w:val="24"/>
        </w:rPr>
      </w:pPr>
      <w:r w:rsidRPr="000D593D">
        <w:rPr>
          <w:rFonts w:ascii="Garamond" w:hAnsi="Garamond" w:cs="Times New Roman (Corpo CS)"/>
          <w:spacing w:val="-4"/>
          <w:sz w:val="24"/>
          <w:szCs w:val="24"/>
        </w:rPr>
        <w:t xml:space="preserve">Se si aderisce a questa chiave di lettura, bisogna rilevare che gli indici di necessità, temporaneità, adeguatezza e dello scopo legittimo della misura esaminata devono essere costantemente osservati dai legislatori nazionali, così come nel caso del </w:t>
      </w:r>
      <w:r w:rsidRPr="000D593D">
        <w:rPr>
          <w:rFonts w:ascii="Garamond" w:hAnsi="Garamond" w:cs="Times New Roman (Corpo CS)"/>
          <w:i/>
          <w:spacing w:val="-4"/>
          <w:sz w:val="24"/>
          <w:szCs w:val="24"/>
        </w:rPr>
        <w:t>green pass</w:t>
      </w:r>
      <w:r w:rsidRPr="000D593D">
        <w:rPr>
          <w:rFonts w:ascii="Garamond" w:hAnsi="Garamond" w:cs="Times New Roman (Corpo CS)"/>
          <w:spacing w:val="-4"/>
          <w:sz w:val="24"/>
          <w:szCs w:val="24"/>
        </w:rPr>
        <w:t xml:space="preserve"> francese.</w:t>
      </w:r>
      <w:r w:rsidRPr="00405153">
        <w:rPr>
          <w:rFonts w:ascii="Garamond" w:hAnsi="Garamond"/>
          <w:sz w:val="24"/>
          <w:szCs w:val="24"/>
        </w:rPr>
        <w:t xml:space="preserve"> </w:t>
      </w:r>
    </w:p>
    <w:p w14:paraId="6ACC7E01" w14:textId="77777777" w:rsidR="00656A51" w:rsidRDefault="00656A51" w:rsidP="0061721E">
      <w:pPr>
        <w:spacing w:after="0" w:line="240" w:lineRule="auto"/>
        <w:ind w:firstLine="567"/>
        <w:jc w:val="both"/>
        <w:rPr>
          <w:rFonts w:ascii="Garamond" w:hAnsi="Garamond"/>
          <w:sz w:val="24"/>
          <w:szCs w:val="24"/>
        </w:rPr>
      </w:pPr>
    </w:p>
    <w:p w14:paraId="420ACAEC" w14:textId="77777777" w:rsidR="00656A51" w:rsidRPr="007B365B" w:rsidRDefault="00656A51" w:rsidP="0061721E">
      <w:pPr>
        <w:pStyle w:val="Paragrafoelenco"/>
        <w:spacing w:after="0" w:line="240" w:lineRule="auto"/>
        <w:ind w:left="0" w:firstLine="567"/>
        <w:jc w:val="both"/>
        <w:rPr>
          <w:rFonts w:ascii="Garamond" w:hAnsi="Garamond"/>
          <w:bCs/>
          <w:i/>
          <w:sz w:val="24"/>
          <w:szCs w:val="24"/>
        </w:rPr>
      </w:pPr>
    </w:p>
    <w:p w14:paraId="3317A291" w14:textId="1218EE5D" w:rsidR="00656A51" w:rsidRDefault="00697A9A" w:rsidP="00697A9A">
      <w:pPr>
        <w:spacing w:after="0" w:line="240" w:lineRule="auto"/>
        <w:jc w:val="both"/>
        <w:rPr>
          <w:rFonts w:ascii="Garamond" w:hAnsi="Garamond"/>
          <w:i/>
          <w:sz w:val="24"/>
          <w:szCs w:val="24"/>
        </w:rPr>
      </w:pPr>
      <w:bookmarkStart w:id="5" w:name="_Hlk114224566"/>
      <w:r w:rsidRPr="00FA35C7">
        <w:rPr>
          <w:rFonts w:ascii="Garamond" w:hAnsi="Garamond"/>
          <w:sz w:val="24"/>
          <w:szCs w:val="24"/>
        </w:rPr>
        <w:t>5.</w:t>
      </w:r>
      <w:r>
        <w:rPr>
          <w:rFonts w:ascii="Garamond" w:hAnsi="Garamond"/>
          <w:i/>
          <w:sz w:val="24"/>
          <w:szCs w:val="24"/>
        </w:rPr>
        <w:t xml:space="preserve"> </w:t>
      </w:r>
      <w:r w:rsidR="00FA35C7">
        <w:rPr>
          <w:rFonts w:ascii="Garamond" w:hAnsi="Garamond"/>
          <w:i/>
          <w:sz w:val="24"/>
          <w:szCs w:val="24"/>
        </w:rPr>
        <w:t xml:space="preserve"> </w:t>
      </w:r>
      <w:r w:rsidR="00656A51" w:rsidRPr="00697A9A">
        <w:rPr>
          <w:rFonts w:ascii="Garamond" w:hAnsi="Garamond"/>
          <w:i/>
          <w:sz w:val="24"/>
          <w:szCs w:val="24"/>
        </w:rPr>
        <w:t xml:space="preserve">Anche </w:t>
      </w:r>
      <w:r w:rsidR="00AA656C">
        <w:rPr>
          <w:rFonts w:ascii="Garamond" w:hAnsi="Garamond"/>
          <w:i/>
          <w:sz w:val="24"/>
          <w:szCs w:val="24"/>
        </w:rPr>
        <w:t>i</w:t>
      </w:r>
      <w:r w:rsidR="00656A51" w:rsidRPr="00697A9A">
        <w:rPr>
          <w:rFonts w:ascii="Garamond" w:hAnsi="Garamond"/>
          <w:i/>
          <w:sz w:val="24"/>
          <w:szCs w:val="24"/>
        </w:rPr>
        <w:t xml:space="preserve">l Tribunale dell’UE si schiera a favore della legittimità del </w:t>
      </w:r>
      <w:r w:rsidR="00656A51" w:rsidRPr="00156101">
        <w:rPr>
          <w:rFonts w:ascii="Garamond" w:hAnsi="Garamond"/>
          <w:sz w:val="24"/>
          <w:szCs w:val="24"/>
        </w:rPr>
        <w:t>green pass</w:t>
      </w:r>
      <w:r w:rsidR="00656A51" w:rsidRPr="00697A9A">
        <w:rPr>
          <w:rFonts w:ascii="Garamond" w:hAnsi="Garamond"/>
          <w:i/>
          <w:sz w:val="24"/>
          <w:szCs w:val="24"/>
        </w:rPr>
        <w:t xml:space="preserve"> (europeo)</w:t>
      </w:r>
      <w:bookmarkEnd w:id="5"/>
    </w:p>
    <w:p w14:paraId="125D6FD5" w14:textId="77777777" w:rsidR="00697A9A" w:rsidRPr="00697A9A" w:rsidRDefault="00697A9A" w:rsidP="00697A9A">
      <w:pPr>
        <w:spacing w:after="0" w:line="240" w:lineRule="auto"/>
        <w:jc w:val="both"/>
        <w:rPr>
          <w:rFonts w:ascii="Garamond" w:hAnsi="Garamond"/>
          <w:bCs/>
          <w:i/>
          <w:sz w:val="24"/>
          <w:szCs w:val="24"/>
        </w:rPr>
      </w:pPr>
    </w:p>
    <w:p w14:paraId="2CC45E8E" w14:textId="77777777" w:rsidR="00656A51" w:rsidRDefault="00656A51" w:rsidP="0061721E">
      <w:pPr>
        <w:spacing w:after="0" w:line="240" w:lineRule="auto"/>
        <w:ind w:firstLine="567"/>
        <w:jc w:val="both"/>
        <w:rPr>
          <w:rFonts w:ascii="Garamond" w:hAnsi="Garamond"/>
          <w:sz w:val="24"/>
          <w:szCs w:val="24"/>
        </w:rPr>
      </w:pPr>
    </w:p>
    <w:p w14:paraId="42FEC2D3" w14:textId="77777777" w:rsidR="0061721E" w:rsidRDefault="00656A51" w:rsidP="0061721E">
      <w:pPr>
        <w:spacing w:after="0" w:line="240" w:lineRule="auto"/>
        <w:ind w:firstLine="567"/>
        <w:jc w:val="both"/>
        <w:rPr>
          <w:rFonts w:ascii="Garamond" w:hAnsi="Garamond"/>
          <w:sz w:val="24"/>
          <w:szCs w:val="24"/>
        </w:rPr>
      </w:pPr>
      <w:r w:rsidRPr="007B365B">
        <w:rPr>
          <w:rFonts w:ascii="Garamond" w:hAnsi="Garamond"/>
          <w:sz w:val="24"/>
          <w:szCs w:val="24"/>
        </w:rPr>
        <w:t>Quest’orientamento riecheggia anche nella pronuncia del Tribunale dell’UE</w:t>
      </w:r>
      <w:r w:rsidRPr="00405153">
        <w:rPr>
          <w:rStyle w:val="Rimandonotaapidipagina"/>
          <w:rFonts w:ascii="Garamond" w:hAnsi="Garamond"/>
          <w:sz w:val="24"/>
          <w:szCs w:val="24"/>
        </w:rPr>
        <w:footnoteReference w:id="82"/>
      </w:r>
      <w:r w:rsidRPr="007B365B">
        <w:rPr>
          <w:rFonts w:ascii="Garamond" w:hAnsi="Garamond"/>
          <w:sz w:val="24"/>
          <w:szCs w:val="24"/>
        </w:rPr>
        <w:t>, che intervenuto in materia di</w:t>
      </w:r>
      <w:r>
        <w:rPr>
          <w:rFonts w:ascii="Garamond" w:hAnsi="Garamond"/>
          <w:sz w:val="24"/>
          <w:szCs w:val="24"/>
        </w:rPr>
        <w:t xml:space="preserve"> </w:t>
      </w:r>
      <w:r w:rsidRPr="007B365B">
        <w:rPr>
          <w:rFonts w:ascii="Garamond" w:hAnsi="Garamond"/>
          <w:i/>
          <w:sz w:val="24"/>
          <w:szCs w:val="24"/>
        </w:rPr>
        <w:t>green pass</w:t>
      </w:r>
      <w:r w:rsidRPr="007B365B">
        <w:rPr>
          <w:rFonts w:ascii="Garamond" w:hAnsi="Garamond"/>
          <w:sz w:val="24"/>
          <w:szCs w:val="24"/>
        </w:rPr>
        <w:t>, ne ha confermato la legittimità rispetto all’architettura giuridica dell’UE, in quanto misura necessaria e avente lo scopo di tutelare la salute collettiva.</w:t>
      </w:r>
    </w:p>
    <w:p w14:paraId="48855894" w14:textId="0B288E6C" w:rsidR="0061721E" w:rsidRPr="000D593D" w:rsidRDefault="00656A51" w:rsidP="0061721E">
      <w:pPr>
        <w:spacing w:after="0" w:line="240" w:lineRule="auto"/>
        <w:ind w:firstLine="567"/>
        <w:jc w:val="both"/>
        <w:rPr>
          <w:rFonts w:ascii="Garamond" w:hAnsi="Garamond" w:cs="Times New Roman (Corpo CS)"/>
          <w:spacing w:val="-4"/>
          <w:sz w:val="24"/>
          <w:szCs w:val="24"/>
        </w:rPr>
      </w:pPr>
      <w:r w:rsidRPr="007B365B">
        <w:rPr>
          <w:rFonts w:ascii="Garamond" w:hAnsi="Garamond"/>
          <w:sz w:val="24"/>
          <w:szCs w:val="24"/>
        </w:rPr>
        <w:t>Nella specie, alcuni deputati europei avevano chiesto (senza successo) all’</w:t>
      </w:r>
      <w:r w:rsidR="00AA656C">
        <w:rPr>
          <w:rFonts w:ascii="Garamond" w:hAnsi="Garamond"/>
          <w:sz w:val="24"/>
          <w:szCs w:val="24"/>
        </w:rPr>
        <w:t>o</w:t>
      </w:r>
      <w:r w:rsidRPr="007B365B">
        <w:rPr>
          <w:rFonts w:ascii="Garamond" w:hAnsi="Garamond"/>
          <w:sz w:val="24"/>
          <w:szCs w:val="24"/>
        </w:rPr>
        <w:t xml:space="preserve">ttava </w:t>
      </w:r>
      <w:r w:rsidR="00AA656C">
        <w:rPr>
          <w:rFonts w:ascii="Garamond" w:hAnsi="Garamond"/>
          <w:sz w:val="24"/>
          <w:szCs w:val="24"/>
        </w:rPr>
        <w:t>s</w:t>
      </w:r>
      <w:r w:rsidRPr="007B365B">
        <w:rPr>
          <w:rFonts w:ascii="Garamond" w:hAnsi="Garamond"/>
          <w:sz w:val="24"/>
          <w:szCs w:val="24"/>
        </w:rPr>
        <w:t xml:space="preserve">ezione del Tribunale dell’UE l’annullamento della decisione con la quale il Parlamento europeo subordinava l’accesso ai propri edifici all’esibizione del </w:t>
      </w:r>
      <w:r w:rsidRPr="007B365B">
        <w:rPr>
          <w:rFonts w:ascii="Garamond" w:hAnsi="Garamond"/>
          <w:i/>
          <w:sz w:val="24"/>
          <w:szCs w:val="24"/>
        </w:rPr>
        <w:t>green pass</w:t>
      </w:r>
      <w:r>
        <w:rPr>
          <w:rFonts w:ascii="Garamond" w:hAnsi="Garamond"/>
          <w:i/>
          <w:sz w:val="24"/>
          <w:szCs w:val="24"/>
        </w:rPr>
        <w:t xml:space="preserve"> </w:t>
      </w:r>
      <w:r>
        <w:rPr>
          <w:rFonts w:ascii="Garamond" w:hAnsi="Garamond"/>
          <w:sz w:val="24"/>
          <w:szCs w:val="24"/>
        </w:rPr>
        <w:t>(</w:t>
      </w:r>
      <w:r w:rsidRPr="001A6596">
        <w:rPr>
          <w:rFonts w:ascii="Garamond" w:hAnsi="Garamond"/>
          <w:sz w:val="24"/>
          <w:szCs w:val="24"/>
        </w:rPr>
        <w:t>conseguente alla vaccinazione, ad un test negativo</w:t>
      </w:r>
      <w:r>
        <w:rPr>
          <w:rFonts w:ascii="Garamond" w:hAnsi="Garamond"/>
          <w:sz w:val="24"/>
          <w:szCs w:val="24"/>
        </w:rPr>
        <w:t>,</w:t>
      </w:r>
      <w:r w:rsidRPr="001A6596">
        <w:rPr>
          <w:rFonts w:ascii="Garamond" w:hAnsi="Garamond"/>
          <w:sz w:val="24"/>
          <w:szCs w:val="24"/>
        </w:rPr>
        <w:t xml:space="preserve"> o alla guarigione del titolare).</w:t>
      </w:r>
      <w:r>
        <w:rPr>
          <w:rFonts w:ascii="Garamond" w:hAnsi="Garamond"/>
          <w:sz w:val="24"/>
          <w:szCs w:val="24"/>
        </w:rPr>
        <w:t xml:space="preserve"> </w:t>
      </w:r>
      <w:r w:rsidRPr="007B365B">
        <w:rPr>
          <w:rFonts w:ascii="Garamond" w:hAnsi="Garamond"/>
          <w:sz w:val="24"/>
          <w:szCs w:val="24"/>
        </w:rPr>
        <w:t xml:space="preserve">In particolare, contestavano </w:t>
      </w:r>
      <w:r w:rsidRPr="000D593D">
        <w:rPr>
          <w:rFonts w:ascii="Garamond" w:hAnsi="Garamond" w:cs="Times New Roman (Corpo CS)"/>
          <w:spacing w:val="-4"/>
          <w:sz w:val="24"/>
          <w:szCs w:val="24"/>
        </w:rPr>
        <w:t xml:space="preserve">i ricorrenti, una tale applicazione del </w:t>
      </w:r>
      <w:r w:rsidRPr="000D593D">
        <w:rPr>
          <w:rFonts w:ascii="Garamond" w:hAnsi="Garamond" w:cs="Times New Roman (Corpo CS)"/>
          <w:i/>
          <w:spacing w:val="-4"/>
          <w:sz w:val="24"/>
          <w:szCs w:val="24"/>
        </w:rPr>
        <w:t>green pass</w:t>
      </w:r>
      <w:r w:rsidRPr="000D593D">
        <w:rPr>
          <w:rFonts w:ascii="Garamond" w:hAnsi="Garamond" w:cs="Times New Roman (Corpo CS)"/>
          <w:spacing w:val="-4"/>
          <w:sz w:val="24"/>
          <w:szCs w:val="24"/>
        </w:rPr>
        <w:t xml:space="preserve"> si sarebbe posta in presunta violazione della normativa sulle immunità parlamentari, del diritto all’integrità fisica e psichica, del diritto al rispetto della vita privata garantiti dalla Carta dei diritti fondamentali dell’UE, nonché contraria al trattamento dei dati personali.</w:t>
      </w:r>
    </w:p>
    <w:p w14:paraId="7710076A" w14:textId="3268A438" w:rsidR="0061721E" w:rsidRPr="000D593D" w:rsidRDefault="00656A51" w:rsidP="0061721E">
      <w:pPr>
        <w:spacing w:after="0" w:line="240" w:lineRule="auto"/>
        <w:ind w:firstLine="567"/>
        <w:jc w:val="both"/>
        <w:rPr>
          <w:rFonts w:ascii="Garamond" w:hAnsi="Garamond" w:cs="Times New Roman (Corpo CS)"/>
          <w:spacing w:val="-4"/>
          <w:sz w:val="24"/>
          <w:szCs w:val="24"/>
        </w:rPr>
      </w:pPr>
      <w:r w:rsidRPr="000D593D">
        <w:rPr>
          <w:rFonts w:ascii="Garamond" w:hAnsi="Garamond" w:cs="Times New Roman (Corpo CS)"/>
          <w:spacing w:val="-4"/>
          <w:sz w:val="24"/>
          <w:szCs w:val="24"/>
        </w:rPr>
        <w:lastRenderedPageBreak/>
        <w:t>Anche nel caso in esame si è contestata la falsa applicazione del par</w:t>
      </w:r>
      <w:r w:rsidR="00AA656C" w:rsidRPr="000D593D">
        <w:rPr>
          <w:rFonts w:ascii="Garamond" w:hAnsi="Garamond" w:cs="Times New Roman (Corpo CS)"/>
          <w:spacing w:val="-4"/>
          <w:sz w:val="24"/>
          <w:szCs w:val="24"/>
        </w:rPr>
        <w:t>.</w:t>
      </w:r>
      <w:r w:rsidRPr="000D593D">
        <w:rPr>
          <w:rFonts w:ascii="Garamond" w:hAnsi="Garamond" w:cs="Times New Roman (Corpo CS)"/>
          <w:spacing w:val="-4"/>
          <w:sz w:val="24"/>
          <w:szCs w:val="24"/>
        </w:rPr>
        <w:t xml:space="preserve"> 36 del </w:t>
      </w:r>
      <w:r w:rsidR="00AA656C" w:rsidRPr="000D593D">
        <w:rPr>
          <w:rFonts w:ascii="Garamond" w:hAnsi="Garamond" w:cs="Times New Roman (Corpo CS)"/>
          <w:spacing w:val="-4"/>
          <w:sz w:val="24"/>
          <w:szCs w:val="24"/>
        </w:rPr>
        <w:t>r</w:t>
      </w:r>
      <w:r w:rsidRPr="000D593D">
        <w:rPr>
          <w:rFonts w:ascii="Garamond" w:hAnsi="Garamond" w:cs="Times New Roman (Corpo CS)"/>
          <w:spacing w:val="-4"/>
          <w:sz w:val="24"/>
          <w:szCs w:val="24"/>
        </w:rPr>
        <w:t xml:space="preserve">egolamento 2021/953, secondo cui il </w:t>
      </w:r>
      <w:r w:rsidRPr="000D593D">
        <w:rPr>
          <w:rFonts w:ascii="Garamond" w:hAnsi="Garamond" w:cs="Times New Roman (Corpo CS)"/>
          <w:i/>
          <w:spacing w:val="-4"/>
          <w:sz w:val="24"/>
          <w:szCs w:val="24"/>
        </w:rPr>
        <w:t>green pass</w:t>
      </w:r>
      <w:r w:rsidRPr="000D593D">
        <w:rPr>
          <w:rFonts w:ascii="Garamond" w:hAnsi="Garamond" w:cs="Times New Roman (Corpo CS)"/>
          <w:spacing w:val="-4"/>
          <w:sz w:val="24"/>
          <w:szCs w:val="24"/>
        </w:rPr>
        <w:t xml:space="preserve"> non dovrebbe istituire </w:t>
      </w:r>
      <w:r w:rsidR="00F326E9" w:rsidRPr="000D593D">
        <w:rPr>
          <w:rFonts w:ascii="Garamond" w:hAnsi="Garamond" w:cs="Times New Roman (Corpo CS)"/>
          <w:spacing w:val="-4"/>
          <w:sz w:val="24"/>
          <w:szCs w:val="24"/>
        </w:rPr>
        <w:t>«</w:t>
      </w:r>
      <w:r w:rsidRPr="000D593D">
        <w:rPr>
          <w:rFonts w:ascii="Garamond" w:hAnsi="Garamond" w:cs="Times New Roman (Corpo CS)"/>
          <w:spacing w:val="-4"/>
          <w:sz w:val="24"/>
          <w:szCs w:val="24"/>
        </w:rPr>
        <w:t>un diritto o un obbligo a essere vaccinati</w:t>
      </w:r>
      <w:r w:rsidR="00F326E9" w:rsidRPr="000D593D">
        <w:rPr>
          <w:rFonts w:ascii="Garamond" w:hAnsi="Garamond" w:cs="Times New Roman (Corpo CS)"/>
          <w:spacing w:val="-4"/>
          <w:sz w:val="24"/>
          <w:szCs w:val="24"/>
        </w:rPr>
        <w:t>»</w:t>
      </w:r>
      <w:r w:rsidRPr="000D593D">
        <w:rPr>
          <w:rStyle w:val="Rimandonotaapidipagina"/>
          <w:rFonts w:ascii="Garamond" w:hAnsi="Garamond" w:cs="Times New Roman (Corpo CS)"/>
          <w:spacing w:val="-4"/>
          <w:sz w:val="24"/>
          <w:szCs w:val="24"/>
        </w:rPr>
        <w:footnoteReference w:id="83"/>
      </w:r>
      <w:r w:rsidRPr="000D593D">
        <w:rPr>
          <w:rFonts w:ascii="Garamond" w:hAnsi="Garamond" w:cs="Times New Roman (Corpo CS)"/>
          <w:spacing w:val="-4"/>
          <w:sz w:val="24"/>
          <w:szCs w:val="24"/>
        </w:rPr>
        <w:t>, in quanto, ad avviso dei ricorrenti, l’obbligatorietà di esibire il certificato per l’accesso agli edifici parlamentari costituirebbe una discriminazione tra coloro che risultano vaccinati (o guariti) e coloro che non lo sono, in ragione del fatto che questi ultimi</w:t>
      </w:r>
      <w:r w:rsidRPr="000D593D">
        <w:rPr>
          <w:rFonts w:ascii="Garamond" w:hAnsi="Garamond" w:cs="Times New Roman (Corpo CS)"/>
          <w:i/>
          <w:spacing w:val="-4"/>
          <w:sz w:val="24"/>
          <w:szCs w:val="24"/>
        </w:rPr>
        <w:t xml:space="preserve"> </w:t>
      </w:r>
      <w:r w:rsidR="00F326E9" w:rsidRPr="000D593D">
        <w:rPr>
          <w:rFonts w:ascii="Garamond" w:hAnsi="Garamond" w:cs="Times New Roman (Corpo CS)"/>
          <w:spacing w:val="-4"/>
          <w:sz w:val="24"/>
          <w:szCs w:val="24"/>
        </w:rPr>
        <w:t>«</w:t>
      </w:r>
      <w:r w:rsidRPr="000D593D">
        <w:rPr>
          <w:rFonts w:ascii="Garamond" w:hAnsi="Garamond" w:cs="Times New Roman (Corpo CS)"/>
          <w:spacing w:val="-4"/>
          <w:sz w:val="24"/>
          <w:szCs w:val="24"/>
        </w:rPr>
        <w:t>dovranno sottoporsi, almeno ogni due giorni, a test per poter lavorare ed esercitare il loro mandato [e che, tale decisione violerebbe] il diritto al consenso libero e informato per qualsiasi intervento medico sul corpo umano, sancito dall’articolo 3, paragrafo 2, della Carta, nonché il diritto alla libertà, sancito dall’articolo 6 della Carta</w:t>
      </w:r>
      <w:r w:rsidR="00F326E9" w:rsidRPr="000D593D">
        <w:rPr>
          <w:rFonts w:ascii="Garamond" w:hAnsi="Garamond" w:cs="Times New Roman (Corpo CS)"/>
          <w:spacing w:val="-4"/>
          <w:sz w:val="24"/>
          <w:szCs w:val="24"/>
        </w:rPr>
        <w:t>»</w:t>
      </w:r>
      <w:r w:rsidRPr="000D593D">
        <w:rPr>
          <w:rStyle w:val="Rimandonotaapidipagina"/>
          <w:rFonts w:ascii="Garamond" w:hAnsi="Garamond" w:cs="Times New Roman (Corpo CS)"/>
          <w:spacing w:val="-4"/>
          <w:sz w:val="24"/>
          <w:szCs w:val="24"/>
        </w:rPr>
        <w:footnoteReference w:id="84"/>
      </w:r>
      <w:r w:rsidRPr="000D593D">
        <w:rPr>
          <w:rFonts w:ascii="Garamond" w:hAnsi="Garamond" w:cs="Times New Roman (Corpo CS)"/>
          <w:spacing w:val="-4"/>
          <w:sz w:val="24"/>
          <w:szCs w:val="24"/>
        </w:rPr>
        <w:t xml:space="preserve">. Di conseguenza, gli attori hanno sostenuto che la misura in parola obbligasse surrettiziamente i deputati a vaccinarsi, considerato che </w:t>
      </w:r>
      <w:r w:rsidR="00F326E9" w:rsidRPr="000D593D">
        <w:rPr>
          <w:rFonts w:ascii="Garamond" w:hAnsi="Garamond" w:cs="Times New Roman (Corpo CS)"/>
          <w:spacing w:val="-4"/>
          <w:sz w:val="24"/>
          <w:szCs w:val="24"/>
        </w:rPr>
        <w:t>«</w:t>
      </w:r>
      <w:r w:rsidRPr="000D593D">
        <w:rPr>
          <w:rFonts w:ascii="Garamond" w:hAnsi="Garamond" w:cs="Times New Roman (Corpo CS)"/>
          <w:spacing w:val="-4"/>
          <w:sz w:val="24"/>
          <w:szCs w:val="24"/>
        </w:rPr>
        <w:t>per evitare di sottoporsi ripetutamente a uno screening rinofaringeo, procedura che può costituire un ostacolo insormontabile per un gran numero di persone, queste si sentirebbero obbligate a vaccinarsi</w:t>
      </w:r>
      <w:r w:rsidR="00F326E9" w:rsidRPr="000D593D">
        <w:rPr>
          <w:rFonts w:ascii="Garamond" w:hAnsi="Garamond" w:cs="Times New Roman (Corpo CS)"/>
          <w:spacing w:val="-4"/>
          <w:sz w:val="24"/>
          <w:szCs w:val="24"/>
        </w:rPr>
        <w:t>»</w:t>
      </w:r>
      <w:r w:rsidRPr="000D593D">
        <w:rPr>
          <w:rStyle w:val="Rimandonotaapidipagina"/>
          <w:rFonts w:ascii="Garamond" w:hAnsi="Garamond" w:cs="Times New Roman (Corpo CS)"/>
          <w:spacing w:val="-4"/>
          <w:sz w:val="24"/>
          <w:szCs w:val="24"/>
        </w:rPr>
        <w:footnoteReference w:id="85"/>
      </w:r>
      <w:r w:rsidR="00F326E9" w:rsidRPr="000D593D">
        <w:rPr>
          <w:rFonts w:ascii="Garamond" w:hAnsi="Garamond" w:cs="Times New Roman (Corpo CS)"/>
          <w:spacing w:val="-4"/>
          <w:sz w:val="24"/>
          <w:szCs w:val="24"/>
        </w:rPr>
        <w:t>.</w:t>
      </w:r>
    </w:p>
    <w:p w14:paraId="046C4B2D" w14:textId="311605B6" w:rsidR="00656A51" w:rsidRPr="000D593D" w:rsidRDefault="00656A51" w:rsidP="0061721E">
      <w:pPr>
        <w:spacing w:after="0" w:line="240" w:lineRule="auto"/>
        <w:ind w:firstLine="567"/>
        <w:jc w:val="both"/>
        <w:rPr>
          <w:rFonts w:ascii="Garamond" w:hAnsi="Garamond" w:cs="Times New Roman (Corpo CS)"/>
          <w:bCs/>
          <w:i/>
          <w:spacing w:val="-4"/>
          <w:sz w:val="24"/>
          <w:szCs w:val="24"/>
        </w:rPr>
      </w:pPr>
      <w:r w:rsidRPr="000D593D">
        <w:rPr>
          <w:rFonts w:ascii="Garamond" w:hAnsi="Garamond" w:cs="Times New Roman (Corpo CS)"/>
          <w:spacing w:val="-4"/>
          <w:sz w:val="24"/>
          <w:szCs w:val="24"/>
        </w:rPr>
        <w:t xml:space="preserve">I giudici di Lussemburgo hanno osservato, in primo luogo che, l’obbligo del </w:t>
      </w:r>
      <w:r w:rsidRPr="000D593D">
        <w:rPr>
          <w:rFonts w:ascii="Garamond" w:hAnsi="Garamond" w:cs="Times New Roman (Corpo CS)"/>
          <w:i/>
          <w:spacing w:val="-4"/>
          <w:sz w:val="24"/>
          <w:szCs w:val="24"/>
        </w:rPr>
        <w:t xml:space="preserve">green pass </w:t>
      </w:r>
      <w:r w:rsidRPr="000D593D">
        <w:rPr>
          <w:rFonts w:ascii="Garamond" w:hAnsi="Garamond" w:cs="Times New Roman (Corpo CS)"/>
          <w:spacing w:val="-4"/>
          <w:sz w:val="24"/>
          <w:szCs w:val="24"/>
        </w:rPr>
        <w:t xml:space="preserve">fosse previsto dal regolamento interno del Parlamento, e ritenuto </w:t>
      </w:r>
      <w:r w:rsidRPr="000D593D">
        <w:rPr>
          <w:rFonts w:ascii="Garamond" w:hAnsi="Garamond" w:cs="Times New Roman (Corpo CS)"/>
          <w:bCs/>
          <w:iCs/>
          <w:spacing w:val="-4"/>
          <w:sz w:val="24"/>
          <w:szCs w:val="24"/>
        </w:rPr>
        <w:t xml:space="preserve">che tale misura perseguisse l’obiettivo legittimo di tutelare la salute pubblica, </w:t>
      </w:r>
      <w:r w:rsidRPr="000D593D">
        <w:rPr>
          <w:rFonts w:ascii="Garamond" w:hAnsi="Garamond" w:cs="Times New Roman (Corpo CS)"/>
          <w:bCs/>
          <w:i/>
          <w:iCs/>
          <w:spacing w:val="-4"/>
          <w:sz w:val="24"/>
          <w:szCs w:val="24"/>
        </w:rPr>
        <w:t>a fortiori</w:t>
      </w:r>
      <w:r w:rsidRPr="000D593D">
        <w:rPr>
          <w:rFonts w:ascii="Garamond" w:hAnsi="Garamond" w:cs="Times New Roman (Corpo CS)"/>
          <w:bCs/>
          <w:iCs/>
          <w:spacing w:val="-4"/>
          <w:sz w:val="24"/>
          <w:szCs w:val="24"/>
        </w:rPr>
        <w:t xml:space="preserve"> nel contesto di </w:t>
      </w:r>
      <w:r w:rsidR="002848A8" w:rsidRPr="000D593D">
        <w:rPr>
          <w:rFonts w:ascii="Garamond" w:hAnsi="Garamond" w:cs="Times New Roman (Corpo CS)"/>
          <w:bCs/>
          <w:iCs/>
          <w:spacing w:val="-4"/>
          <w:sz w:val="24"/>
          <w:szCs w:val="24"/>
        </w:rPr>
        <w:t>«</w:t>
      </w:r>
      <w:r w:rsidRPr="000D593D">
        <w:rPr>
          <w:rFonts w:ascii="Garamond" w:hAnsi="Garamond" w:cs="Times New Roman (Corpo CS)"/>
          <w:bCs/>
          <w:iCs/>
          <w:spacing w:val="-4"/>
          <w:sz w:val="24"/>
          <w:szCs w:val="24"/>
        </w:rPr>
        <w:t>una generale situazione epidemiologica in Europa</w:t>
      </w:r>
      <w:r w:rsidR="002848A8" w:rsidRPr="000D593D">
        <w:rPr>
          <w:rFonts w:ascii="Garamond" w:hAnsi="Garamond" w:cs="Times New Roman (Corpo CS)"/>
          <w:bCs/>
          <w:iCs/>
          <w:spacing w:val="-4"/>
          <w:sz w:val="24"/>
          <w:szCs w:val="24"/>
        </w:rPr>
        <w:t>»</w:t>
      </w:r>
      <w:r w:rsidRPr="000D593D">
        <w:rPr>
          <w:rStyle w:val="Rimandonotaapidipagina"/>
          <w:rFonts w:ascii="Garamond" w:hAnsi="Garamond" w:cs="Times New Roman (Corpo CS)"/>
          <w:bCs/>
          <w:iCs/>
          <w:spacing w:val="-4"/>
          <w:sz w:val="24"/>
          <w:szCs w:val="24"/>
        </w:rPr>
        <w:footnoteReference w:id="86"/>
      </w:r>
      <w:r w:rsidRPr="000D593D">
        <w:rPr>
          <w:rFonts w:ascii="Garamond" w:hAnsi="Garamond" w:cs="Times New Roman (Corpo CS)"/>
          <w:bCs/>
          <w:iCs/>
          <w:spacing w:val="-4"/>
          <w:sz w:val="24"/>
          <w:szCs w:val="24"/>
        </w:rPr>
        <w:t>; ragionando, in</w:t>
      </w:r>
      <w:r w:rsidR="00C31B88" w:rsidRPr="000D593D">
        <w:rPr>
          <w:rFonts w:ascii="Garamond" w:hAnsi="Garamond" w:cs="Times New Roman (Corpo CS)"/>
          <w:bCs/>
          <w:iCs/>
          <w:spacing w:val="-4"/>
          <w:sz w:val="24"/>
          <w:szCs w:val="24"/>
        </w:rPr>
        <w:t>oltre</w:t>
      </w:r>
      <w:r w:rsidRPr="000D593D">
        <w:rPr>
          <w:rFonts w:ascii="Garamond" w:hAnsi="Garamond" w:cs="Times New Roman (Corpo CS)"/>
          <w:bCs/>
          <w:iCs/>
          <w:spacing w:val="-4"/>
          <w:sz w:val="24"/>
          <w:szCs w:val="24"/>
        </w:rPr>
        <w:t xml:space="preserve">, sul fatto che, senza la misura in questione, la persona non vaccinata, potenziale vettore del virus potrebbe avere accesso agli edifici del Parlamento, rischiando </w:t>
      </w:r>
      <w:r w:rsidR="00C31B88" w:rsidRPr="000D593D">
        <w:rPr>
          <w:rFonts w:ascii="Garamond" w:hAnsi="Garamond" w:cs="Times New Roman (Corpo CS)"/>
          <w:bCs/>
          <w:iCs/>
          <w:spacing w:val="-4"/>
          <w:sz w:val="24"/>
          <w:szCs w:val="24"/>
        </w:rPr>
        <w:t xml:space="preserve">in questa maniera </w:t>
      </w:r>
      <w:r w:rsidRPr="000D593D">
        <w:rPr>
          <w:rFonts w:ascii="Garamond" w:hAnsi="Garamond" w:cs="Times New Roman (Corpo CS)"/>
          <w:bCs/>
          <w:iCs/>
          <w:spacing w:val="-4"/>
          <w:sz w:val="24"/>
          <w:szCs w:val="24"/>
        </w:rPr>
        <w:t>di infettare gli altri colleghi</w:t>
      </w:r>
      <w:r w:rsidRPr="000D593D">
        <w:rPr>
          <w:rStyle w:val="Rimandonotaapidipagina"/>
          <w:rFonts w:ascii="Garamond" w:hAnsi="Garamond" w:cs="Times New Roman (Corpo CS)"/>
          <w:bCs/>
          <w:iCs/>
          <w:spacing w:val="-4"/>
          <w:sz w:val="24"/>
          <w:szCs w:val="24"/>
        </w:rPr>
        <w:footnoteReference w:id="87"/>
      </w:r>
      <w:r w:rsidRPr="000D593D">
        <w:rPr>
          <w:rFonts w:ascii="Garamond" w:hAnsi="Garamond" w:cs="Times New Roman (Corpo CS)"/>
          <w:bCs/>
          <w:iCs/>
          <w:spacing w:val="-4"/>
          <w:sz w:val="24"/>
          <w:szCs w:val="24"/>
        </w:rPr>
        <w:t xml:space="preserve">. Infine, i giudici hanno statuito che </w:t>
      </w:r>
      <w:r w:rsidR="00946397" w:rsidRPr="000D593D">
        <w:rPr>
          <w:rFonts w:ascii="Garamond" w:hAnsi="Garamond" w:cs="Times New Roman (Corpo CS)"/>
          <w:bCs/>
          <w:iCs/>
          <w:spacing w:val="-4"/>
          <w:sz w:val="24"/>
          <w:szCs w:val="24"/>
        </w:rPr>
        <w:t>«</w:t>
      </w:r>
      <w:r w:rsidRPr="000D593D">
        <w:rPr>
          <w:rFonts w:ascii="Garamond" w:hAnsi="Garamond" w:cs="Times New Roman (Corpo CS)"/>
          <w:bCs/>
          <w:iCs/>
          <w:spacing w:val="-4"/>
          <w:sz w:val="24"/>
          <w:szCs w:val="24"/>
        </w:rPr>
        <w:t>un’applicazione combinata delle misure sanitarie esistenti con il controllo obbligatorio dei certificati COVID è proporzionata rispetto all’obiettivo perseguito dalla decisione impugnata, che risiede nel garantire la protezione della salute dei deputati e del personale e di limitare la diffusione della COVID-19</w:t>
      </w:r>
      <w:r w:rsidR="00946397" w:rsidRPr="000D593D">
        <w:rPr>
          <w:rFonts w:ascii="Garamond" w:hAnsi="Garamond" w:cs="Times New Roman (Corpo CS)"/>
          <w:bCs/>
          <w:iCs/>
          <w:spacing w:val="-4"/>
          <w:sz w:val="24"/>
          <w:szCs w:val="24"/>
        </w:rPr>
        <w:t>»</w:t>
      </w:r>
      <w:r w:rsidRPr="000D593D">
        <w:rPr>
          <w:rStyle w:val="Rimandonotaapidipagina"/>
          <w:rFonts w:ascii="Garamond" w:hAnsi="Garamond" w:cs="Times New Roman (Corpo CS)"/>
          <w:bCs/>
          <w:iCs/>
          <w:spacing w:val="-4"/>
          <w:sz w:val="24"/>
          <w:szCs w:val="24"/>
        </w:rPr>
        <w:footnoteReference w:id="88"/>
      </w:r>
      <w:r w:rsidRPr="000D593D">
        <w:rPr>
          <w:rFonts w:ascii="Garamond" w:hAnsi="Garamond" w:cs="Times New Roman (Corpo CS)"/>
          <w:bCs/>
          <w:iCs/>
          <w:spacing w:val="-4"/>
          <w:sz w:val="24"/>
          <w:szCs w:val="24"/>
        </w:rPr>
        <w:t xml:space="preserve">, in considerazione del fatto che </w:t>
      </w:r>
      <w:r w:rsidR="00946397" w:rsidRPr="000D593D">
        <w:rPr>
          <w:rFonts w:ascii="Garamond" w:hAnsi="Garamond" w:cs="Times New Roman (Corpo CS)"/>
          <w:bCs/>
          <w:iCs/>
          <w:spacing w:val="-4"/>
          <w:sz w:val="24"/>
          <w:szCs w:val="24"/>
        </w:rPr>
        <w:t>«</w:t>
      </w:r>
      <w:r w:rsidRPr="000D593D">
        <w:rPr>
          <w:rFonts w:ascii="Garamond" w:hAnsi="Garamond" w:cs="Times New Roman (Corpo CS)"/>
          <w:bCs/>
          <w:iCs/>
          <w:spacing w:val="-4"/>
          <w:sz w:val="24"/>
          <w:szCs w:val="24"/>
        </w:rPr>
        <w:t>in proposito, (…) i ricorrenti non hanno in alcun modo dimostrato che esistevano altre misure meno restrittive, ma altrettanto efficaci alla luce dell’obiettivo perseguito, che avrebbero potuto essere adottate dal Parlamento</w:t>
      </w:r>
      <w:r w:rsidR="00946397" w:rsidRPr="000D593D">
        <w:rPr>
          <w:rFonts w:ascii="Garamond" w:hAnsi="Garamond" w:cs="Times New Roman (Corpo CS)"/>
          <w:bCs/>
          <w:iCs/>
          <w:spacing w:val="-4"/>
          <w:sz w:val="24"/>
          <w:szCs w:val="24"/>
        </w:rPr>
        <w:t>»</w:t>
      </w:r>
      <w:r w:rsidRPr="000D593D">
        <w:rPr>
          <w:rStyle w:val="Rimandonotaapidipagina"/>
          <w:rFonts w:ascii="Garamond" w:hAnsi="Garamond" w:cs="Times New Roman (Corpo CS)"/>
          <w:bCs/>
          <w:iCs/>
          <w:spacing w:val="-4"/>
          <w:sz w:val="24"/>
          <w:szCs w:val="24"/>
        </w:rPr>
        <w:footnoteReference w:id="89"/>
      </w:r>
      <w:r w:rsidRPr="000D593D">
        <w:rPr>
          <w:rFonts w:ascii="Garamond" w:hAnsi="Garamond" w:cs="Times New Roman (Corpo CS)"/>
          <w:bCs/>
          <w:iCs/>
          <w:spacing w:val="-4"/>
          <w:sz w:val="24"/>
          <w:szCs w:val="24"/>
        </w:rPr>
        <w:t>.</w:t>
      </w:r>
      <w:r w:rsidRPr="000D593D">
        <w:rPr>
          <w:rFonts w:ascii="Garamond" w:hAnsi="Garamond" w:cs="Times New Roman (Corpo CS)"/>
          <w:spacing w:val="-4"/>
          <w:sz w:val="24"/>
          <w:szCs w:val="24"/>
        </w:rPr>
        <w:t xml:space="preserve"> </w:t>
      </w:r>
      <w:r w:rsidRPr="000D593D">
        <w:rPr>
          <w:rFonts w:ascii="Garamond" w:hAnsi="Garamond" w:cs="Times New Roman (Corpo CS)"/>
          <w:bCs/>
          <w:iCs/>
          <w:spacing w:val="-4"/>
          <w:sz w:val="24"/>
          <w:szCs w:val="24"/>
        </w:rPr>
        <w:t>Il ricorso è stato ritenuto infondato.</w:t>
      </w:r>
    </w:p>
    <w:p w14:paraId="14074CBE" w14:textId="77777777" w:rsidR="00C31B88" w:rsidRDefault="00C31B88" w:rsidP="006D6B45">
      <w:pPr>
        <w:spacing w:after="0" w:line="240" w:lineRule="auto"/>
        <w:jc w:val="both"/>
        <w:rPr>
          <w:rFonts w:ascii="Garamond" w:hAnsi="Garamond"/>
          <w:sz w:val="24"/>
          <w:szCs w:val="24"/>
        </w:rPr>
      </w:pPr>
    </w:p>
    <w:p w14:paraId="34A7C8FD" w14:textId="77777777" w:rsidR="00656A51" w:rsidRDefault="00656A51" w:rsidP="0061721E">
      <w:pPr>
        <w:spacing w:after="0" w:line="240" w:lineRule="auto"/>
        <w:ind w:firstLine="567"/>
        <w:jc w:val="both"/>
        <w:rPr>
          <w:rFonts w:ascii="Garamond" w:hAnsi="Garamond"/>
          <w:sz w:val="24"/>
          <w:szCs w:val="24"/>
        </w:rPr>
      </w:pPr>
    </w:p>
    <w:p w14:paraId="23D672DF" w14:textId="7C7A175F" w:rsidR="00656A51" w:rsidRPr="00405153" w:rsidRDefault="00656A51" w:rsidP="00697A9A">
      <w:pPr>
        <w:spacing w:after="0" w:line="240" w:lineRule="auto"/>
        <w:jc w:val="both"/>
        <w:rPr>
          <w:rFonts w:ascii="Garamond" w:hAnsi="Garamond"/>
          <w:i/>
          <w:sz w:val="24"/>
          <w:szCs w:val="24"/>
        </w:rPr>
      </w:pPr>
      <w:r w:rsidRPr="00405153">
        <w:rPr>
          <w:rFonts w:ascii="Garamond" w:hAnsi="Garamond"/>
          <w:sz w:val="24"/>
          <w:szCs w:val="24"/>
        </w:rPr>
        <w:t xml:space="preserve"> </w:t>
      </w:r>
      <w:r>
        <w:rPr>
          <w:rFonts w:ascii="Garamond" w:hAnsi="Garamond"/>
          <w:sz w:val="24"/>
          <w:szCs w:val="24"/>
        </w:rPr>
        <w:t>6</w:t>
      </w:r>
      <w:r w:rsidRPr="00405153">
        <w:rPr>
          <w:rFonts w:ascii="Garamond" w:hAnsi="Garamond"/>
          <w:sz w:val="24"/>
          <w:szCs w:val="24"/>
        </w:rPr>
        <w:t xml:space="preserve">. </w:t>
      </w:r>
      <w:r w:rsidR="00AF393F">
        <w:rPr>
          <w:rFonts w:ascii="Garamond" w:hAnsi="Garamond"/>
          <w:sz w:val="24"/>
          <w:szCs w:val="24"/>
        </w:rPr>
        <w:t xml:space="preserve"> </w:t>
      </w:r>
      <w:r w:rsidRPr="00405153">
        <w:rPr>
          <w:rFonts w:ascii="Garamond" w:hAnsi="Garamond"/>
          <w:i/>
          <w:sz w:val="24"/>
          <w:szCs w:val="24"/>
        </w:rPr>
        <w:t>Considerazioni conclusive</w:t>
      </w:r>
    </w:p>
    <w:p w14:paraId="75018A22" w14:textId="3C60E447" w:rsidR="00656A51" w:rsidRDefault="00656A51"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 </w:t>
      </w:r>
    </w:p>
    <w:p w14:paraId="6C22548D" w14:textId="77777777" w:rsidR="00697A9A" w:rsidRDefault="00697A9A" w:rsidP="0061721E">
      <w:pPr>
        <w:spacing w:after="0" w:line="240" w:lineRule="auto"/>
        <w:ind w:firstLine="567"/>
        <w:jc w:val="both"/>
        <w:rPr>
          <w:rFonts w:ascii="Garamond" w:hAnsi="Garamond"/>
          <w:sz w:val="24"/>
          <w:szCs w:val="24"/>
        </w:rPr>
      </w:pPr>
    </w:p>
    <w:p w14:paraId="4AD8770B" w14:textId="2DEC8BF8" w:rsidR="00AA656C" w:rsidRDefault="0061721E" w:rsidP="0061721E">
      <w:pPr>
        <w:spacing w:after="0" w:line="240" w:lineRule="auto"/>
        <w:ind w:firstLine="567"/>
        <w:jc w:val="both"/>
        <w:rPr>
          <w:rFonts w:ascii="Garamond" w:hAnsi="Garamond"/>
          <w:sz w:val="24"/>
          <w:szCs w:val="24"/>
        </w:rPr>
      </w:pPr>
      <w:r w:rsidRPr="00405153">
        <w:rPr>
          <w:rFonts w:ascii="Garamond" w:hAnsi="Garamond"/>
          <w:sz w:val="24"/>
          <w:szCs w:val="24"/>
        </w:rPr>
        <w:t>Tirando le fila</w:t>
      </w:r>
      <w:r>
        <w:rPr>
          <w:rStyle w:val="Rimandonotaapidipagina"/>
          <w:rFonts w:ascii="Garamond" w:hAnsi="Garamond"/>
          <w:sz w:val="24"/>
          <w:szCs w:val="24"/>
        </w:rPr>
        <w:footnoteReference w:id="90"/>
      </w:r>
      <w:r w:rsidRPr="00405153">
        <w:rPr>
          <w:rFonts w:ascii="Garamond" w:hAnsi="Garamond"/>
          <w:sz w:val="24"/>
          <w:szCs w:val="24"/>
        </w:rPr>
        <w:t xml:space="preserve">, non si tratta (come, invece, potrebbe emergere a prima vista dal testo), a nostro avviso, di non tener conto di un diritto, peraltro, di rango costituzionale e </w:t>
      </w:r>
      <w:r w:rsidRPr="00405153">
        <w:rPr>
          <w:rFonts w:ascii="Garamond" w:hAnsi="Garamond"/>
          <w:sz w:val="24"/>
          <w:szCs w:val="24"/>
        </w:rPr>
        <w:lastRenderedPageBreak/>
        <w:t>internazionalmente tutelato, come il diritto all’autodeterminazione individuale che comprende la tutela dell’integrità fisica</w:t>
      </w:r>
      <w:r>
        <w:rPr>
          <w:rStyle w:val="Rimandonotaapidipagina"/>
          <w:rFonts w:ascii="Garamond" w:hAnsi="Garamond"/>
          <w:sz w:val="24"/>
          <w:szCs w:val="24"/>
        </w:rPr>
        <w:footnoteReference w:id="91"/>
      </w:r>
      <w:r w:rsidRPr="00405153">
        <w:rPr>
          <w:rFonts w:ascii="Garamond" w:hAnsi="Garamond"/>
          <w:sz w:val="24"/>
          <w:szCs w:val="24"/>
        </w:rPr>
        <w:t xml:space="preserve">, ma semplicemente di riconoscere che durante una crisi sanitaria di </w:t>
      </w:r>
      <w:r>
        <w:rPr>
          <w:rFonts w:ascii="Garamond" w:hAnsi="Garamond"/>
          <w:sz w:val="24"/>
          <w:szCs w:val="24"/>
        </w:rPr>
        <w:t>carattere globale,</w:t>
      </w:r>
      <w:r w:rsidRPr="00405153">
        <w:rPr>
          <w:rFonts w:ascii="Garamond" w:hAnsi="Garamond"/>
          <w:sz w:val="24"/>
          <w:szCs w:val="24"/>
        </w:rPr>
        <w:t xml:space="preserve"> alcune misure che sacrifichino tale diritto (es. </w:t>
      </w:r>
      <w:r w:rsidRPr="00405153">
        <w:rPr>
          <w:rFonts w:ascii="Garamond" w:hAnsi="Garamond"/>
          <w:i/>
          <w:sz w:val="24"/>
          <w:szCs w:val="24"/>
        </w:rPr>
        <w:t>green pass</w:t>
      </w:r>
      <w:r w:rsidRPr="00405153">
        <w:rPr>
          <w:rFonts w:ascii="Garamond" w:hAnsi="Garamond"/>
          <w:sz w:val="24"/>
          <w:szCs w:val="24"/>
        </w:rPr>
        <w:t>), potrebbero essere necessarie, per tutelare un altro interesse ugualmente meritevole di tutela</w:t>
      </w:r>
      <w:r w:rsidR="00FA35C7">
        <w:rPr>
          <w:rFonts w:ascii="Garamond" w:hAnsi="Garamond"/>
          <w:sz w:val="24"/>
          <w:szCs w:val="24"/>
        </w:rPr>
        <w:t>,</w:t>
      </w:r>
      <w:r w:rsidRPr="00405153">
        <w:rPr>
          <w:rFonts w:ascii="Garamond" w:hAnsi="Garamond"/>
          <w:sz w:val="24"/>
          <w:szCs w:val="24"/>
        </w:rPr>
        <w:t xml:space="preserve"> ritenuto prevalente in questo ragionevole contemperamento, ossia il valore della salute</w:t>
      </w:r>
      <w:r>
        <w:rPr>
          <w:rStyle w:val="Rimandonotaapidipagina"/>
          <w:rFonts w:ascii="Garamond" w:hAnsi="Garamond"/>
          <w:sz w:val="24"/>
          <w:szCs w:val="24"/>
        </w:rPr>
        <w:footnoteReference w:id="92"/>
      </w:r>
      <w:r w:rsidRPr="00405153">
        <w:rPr>
          <w:rFonts w:ascii="Garamond" w:hAnsi="Garamond"/>
          <w:sz w:val="24"/>
          <w:szCs w:val="24"/>
        </w:rPr>
        <w:t xml:space="preserve"> </w:t>
      </w:r>
      <w:r w:rsidRPr="00405153">
        <w:rPr>
          <w:rFonts w:ascii="Garamond" w:hAnsi="Garamond"/>
          <w:sz w:val="24"/>
          <w:szCs w:val="24"/>
        </w:rPr>
        <w:lastRenderedPageBreak/>
        <w:t>pubblica; in nome di quei doveri costituzionali inderogabili di solidarietà</w:t>
      </w:r>
      <w:r>
        <w:rPr>
          <w:rStyle w:val="Rimandonotaapidipagina"/>
          <w:rFonts w:ascii="Garamond" w:hAnsi="Garamond"/>
          <w:sz w:val="24"/>
          <w:szCs w:val="24"/>
        </w:rPr>
        <w:footnoteReference w:id="93"/>
      </w:r>
      <w:r w:rsidRPr="00405153">
        <w:rPr>
          <w:rFonts w:ascii="Garamond" w:hAnsi="Garamond"/>
          <w:sz w:val="24"/>
          <w:szCs w:val="24"/>
        </w:rPr>
        <w:t xml:space="preserve"> </w:t>
      </w:r>
      <w:r w:rsidRPr="00405153">
        <w:rPr>
          <w:rFonts w:ascii="Garamond" w:hAnsi="Garamond"/>
          <w:i/>
          <w:sz w:val="24"/>
          <w:szCs w:val="24"/>
        </w:rPr>
        <w:t>ex</w:t>
      </w:r>
      <w:r w:rsidRPr="00405153">
        <w:rPr>
          <w:rFonts w:ascii="Garamond" w:hAnsi="Garamond"/>
          <w:sz w:val="24"/>
          <w:szCs w:val="24"/>
        </w:rPr>
        <w:t xml:space="preserve"> art. 2 Cost.</w:t>
      </w:r>
      <w:r>
        <w:rPr>
          <w:rFonts w:ascii="Garamond" w:hAnsi="Garamond"/>
          <w:sz w:val="24"/>
          <w:szCs w:val="24"/>
        </w:rPr>
        <w:tab/>
      </w:r>
      <w:r>
        <w:rPr>
          <w:rFonts w:ascii="Garamond" w:hAnsi="Garamond"/>
          <w:sz w:val="24"/>
          <w:szCs w:val="24"/>
        </w:rPr>
        <w:tab/>
      </w:r>
      <w:r w:rsidRPr="00405153">
        <w:rPr>
          <w:rFonts w:ascii="Garamond" w:hAnsi="Garamond"/>
          <w:sz w:val="24"/>
          <w:szCs w:val="24"/>
        </w:rPr>
        <w:t xml:space="preserve">Peraltro, la dottrina è concorde nel ritenere il certificato, elemento che </w:t>
      </w:r>
      <w:r w:rsidR="0035424D" w:rsidRPr="0035424D">
        <w:rPr>
          <w:rFonts w:ascii="Garamond" w:hAnsi="Garamond"/>
          <w:sz w:val="24"/>
          <w:szCs w:val="24"/>
        </w:rPr>
        <w:t>«</w:t>
      </w:r>
      <w:r w:rsidRPr="00405153">
        <w:rPr>
          <w:rFonts w:ascii="Garamond" w:hAnsi="Garamond"/>
          <w:sz w:val="24"/>
          <w:szCs w:val="24"/>
        </w:rPr>
        <w:t xml:space="preserve">(…) </w:t>
      </w:r>
      <w:r w:rsidRPr="00156101">
        <w:rPr>
          <w:rFonts w:ascii="Garamond" w:hAnsi="Garamond"/>
          <w:sz w:val="24"/>
          <w:szCs w:val="24"/>
        </w:rPr>
        <w:t>condiziona l’esercizio di determinate attività</w:t>
      </w:r>
      <w:r w:rsidRPr="00AA656C">
        <w:rPr>
          <w:rFonts w:ascii="Garamond" w:hAnsi="Garamond"/>
          <w:sz w:val="24"/>
          <w:szCs w:val="24"/>
        </w:rPr>
        <w:t xml:space="preserve">, (così però) </w:t>
      </w:r>
      <w:r w:rsidRPr="00156101">
        <w:rPr>
          <w:rFonts w:ascii="Garamond" w:hAnsi="Garamond"/>
          <w:sz w:val="24"/>
          <w:szCs w:val="24"/>
        </w:rPr>
        <w:t>come ve ne sono moltissime</w:t>
      </w:r>
      <w:r w:rsidR="0035424D" w:rsidRPr="0035424D">
        <w:rPr>
          <w:rFonts w:ascii="Garamond" w:hAnsi="Garamond"/>
          <w:sz w:val="24"/>
          <w:szCs w:val="24"/>
        </w:rPr>
        <w:t>»</w:t>
      </w:r>
      <w:r w:rsidRPr="00405153">
        <w:rPr>
          <w:rStyle w:val="Rimandonotaapidipagina"/>
          <w:rFonts w:ascii="Garamond" w:hAnsi="Garamond"/>
          <w:sz w:val="24"/>
          <w:szCs w:val="24"/>
        </w:rPr>
        <w:footnoteReference w:id="94"/>
      </w:r>
      <w:r w:rsidRPr="00405153">
        <w:rPr>
          <w:rFonts w:ascii="Garamond" w:hAnsi="Garamond"/>
          <w:sz w:val="24"/>
          <w:szCs w:val="24"/>
        </w:rPr>
        <w:t xml:space="preserve">, o analogamente, come un documento che </w:t>
      </w:r>
      <w:r w:rsidR="0035424D" w:rsidRPr="0035424D">
        <w:rPr>
          <w:rFonts w:ascii="Garamond" w:hAnsi="Garamond"/>
          <w:sz w:val="24"/>
          <w:szCs w:val="24"/>
        </w:rPr>
        <w:t>«</w:t>
      </w:r>
      <w:r w:rsidRPr="00156101">
        <w:rPr>
          <w:rFonts w:ascii="Garamond" w:hAnsi="Garamond"/>
          <w:sz w:val="24"/>
          <w:szCs w:val="24"/>
        </w:rPr>
        <w:t>attesta una condizione di non pericolosità sanitaria</w:t>
      </w:r>
      <w:r w:rsidR="0035424D" w:rsidRPr="0035424D">
        <w:rPr>
          <w:rFonts w:ascii="Garamond" w:hAnsi="Garamond"/>
          <w:sz w:val="24"/>
          <w:szCs w:val="24"/>
        </w:rPr>
        <w:t>»</w:t>
      </w:r>
      <w:r w:rsidRPr="00405153">
        <w:rPr>
          <w:rStyle w:val="Rimandonotaapidipagina"/>
          <w:rFonts w:ascii="Garamond" w:hAnsi="Garamond"/>
          <w:sz w:val="24"/>
          <w:szCs w:val="24"/>
        </w:rPr>
        <w:footnoteReference w:id="95"/>
      </w:r>
      <w:r w:rsidRPr="00405153">
        <w:rPr>
          <w:rFonts w:ascii="Garamond" w:hAnsi="Garamond"/>
          <w:sz w:val="24"/>
          <w:szCs w:val="24"/>
        </w:rPr>
        <w:t xml:space="preserve">, volto a preservare la salute collettiva </w:t>
      </w:r>
      <w:r w:rsidRPr="00405153">
        <w:rPr>
          <w:rFonts w:ascii="Garamond" w:hAnsi="Garamond"/>
          <w:i/>
          <w:sz w:val="24"/>
          <w:szCs w:val="24"/>
        </w:rPr>
        <w:t>ex</w:t>
      </w:r>
      <w:r w:rsidRPr="00405153">
        <w:rPr>
          <w:rFonts w:ascii="Garamond" w:hAnsi="Garamond"/>
          <w:sz w:val="24"/>
          <w:szCs w:val="24"/>
        </w:rPr>
        <w:t xml:space="preserve"> art. 32, primo comma Cost., alla stregua della funzione accertativa svolta dall’ordinaria patente di guida rispetto alle condizioni fisiche del titolare. Non sono però mancate posizioni opposte, così come quella del Consiglio </w:t>
      </w:r>
      <w:r w:rsidRPr="00405153">
        <w:rPr>
          <w:rFonts w:ascii="Garamond" w:hAnsi="Garamond"/>
          <w:sz w:val="24"/>
          <w:szCs w:val="24"/>
        </w:rPr>
        <w:lastRenderedPageBreak/>
        <w:t>d’Europa</w:t>
      </w:r>
      <w:r w:rsidRPr="00405153">
        <w:rPr>
          <w:rStyle w:val="Rimandonotaapidipagina"/>
          <w:rFonts w:ascii="Garamond" w:hAnsi="Garamond"/>
          <w:sz w:val="24"/>
          <w:szCs w:val="24"/>
        </w:rPr>
        <w:footnoteReference w:id="96"/>
      </w:r>
      <w:r w:rsidRPr="00405153">
        <w:rPr>
          <w:rFonts w:ascii="Garamond" w:hAnsi="Garamond"/>
          <w:sz w:val="24"/>
          <w:szCs w:val="24"/>
        </w:rPr>
        <w:t>, inizialmente scettica</w:t>
      </w:r>
      <w:r w:rsidRPr="00405153">
        <w:rPr>
          <w:rStyle w:val="Rimandonotaapidipagina"/>
          <w:rFonts w:ascii="Garamond" w:hAnsi="Garamond"/>
          <w:sz w:val="24"/>
          <w:szCs w:val="24"/>
        </w:rPr>
        <w:footnoteReference w:id="97"/>
      </w:r>
      <w:r w:rsidRPr="00405153">
        <w:rPr>
          <w:rFonts w:ascii="Garamond" w:hAnsi="Garamond"/>
          <w:sz w:val="24"/>
          <w:szCs w:val="24"/>
        </w:rPr>
        <w:t xml:space="preserve"> sull’introduzione di un </w:t>
      </w:r>
      <w:r w:rsidRPr="00405153">
        <w:rPr>
          <w:rFonts w:ascii="Garamond" w:hAnsi="Garamond"/>
          <w:i/>
          <w:sz w:val="24"/>
          <w:szCs w:val="24"/>
        </w:rPr>
        <w:t>pass</w:t>
      </w:r>
      <w:r w:rsidRPr="00405153">
        <w:rPr>
          <w:rFonts w:ascii="Garamond" w:hAnsi="Garamond"/>
          <w:sz w:val="24"/>
          <w:szCs w:val="24"/>
        </w:rPr>
        <w:t xml:space="preserve"> vaccinale in vigore in tutti gli Stati membri, salvo poi dichiararsi favorevole a tale strumento purché attuato </w:t>
      </w:r>
      <w:r w:rsidR="00C54D92" w:rsidRPr="00C54D92">
        <w:rPr>
          <w:rFonts w:ascii="Garamond" w:hAnsi="Garamond"/>
          <w:sz w:val="24"/>
          <w:szCs w:val="24"/>
        </w:rPr>
        <w:t>«</w:t>
      </w:r>
      <w:r w:rsidRPr="00405153">
        <w:rPr>
          <w:rFonts w:ascii="Garamond" w:hAnsi="Garamond"/>
          <w:i/>
          <w:sz w:val="24"/>
          <w:szCs w:val="24"/>
        </w:rPr>
        <w:t xml:space="preserve">with </w:t>
      </w:r>
      <w:proofErr w:type="spellStart"/>
      <w:r w:rsidRPr="00405153">
        <w:rPr>
          <w:rFonts w:ascii="Garamond" w:hAnsi="Garamond"/>
          <w:i/>
          <w:sz w:val="24"/>
          <w:szCs w:val="24"/>
        </w:rPr>
        <w:t>strict</w:t>
      </w:r>
      <w:proofErr w:type="spellEnd"/>
      <w:r w:rsidRPr="00405153">
        <w:rPr>
          <w:rFonts w:ascii="Garamond" w:hAnsi="Garamond"/>
          <w:i/>
          <w:sz w:val="24"/>
          <w:szCs w:val="24"/>
        </w:rPr>
        <w:t xml:space="preserve"> </w:t>
      </w:r>
      <w:proofErr w:type="spellStart"/>
      <w:r w:rsidRPr="00405153">
        <w:rPr>
          <w:rFonts w:ascii="Garamond" w:hAnsi="Garamond"/>
          <w:i/>
          <w:sz w:val="24"/>
          <w:szCs w:val="24"/>
        </w:rPr>
        <w:t>respect</w:t>
      </w:r>
      <w:proofErr w:type="spellEnd"/>
      <w:r w:rsidRPr="00405153">
        <w:rPr>
          <w:rFonts w:ascii="Garamond" w:hAnsi="Garamond"/>
          <w:i/>
          <w:sz w:val="24"/>
          <w:szCs w:val="24"/>
        </w:rPr>
        <w:t xml:space="preserve"> of human rights</w:t>
      </w:r>
      <w:r w:rsidR="00C54D92" w:rsidRPr="00C54D92">
        <w:rPr>
          <w:rFonts w:ascii="Garamond" w:hAnsi="Garamond"/>
          <w:sz w:val="24"/>
          <w:szCs w:val="24"/>
        </w:rPr>
        <w:t>»</w:t>
      </w:r>
      <w:r w:rsidRPr="00405153">
        <w:rPr>
          <w:rStyle w:val="Rimandonotaapidipagina"/>
          <w:rFonts w:ascii="Garamond" w:hAnsi="Garamond"/>
          <w:sz w:val="24"/>
          <w:szCs w:val="24"/>
        </w:rPr>
        <w:footnoteReference w:id="98"/>
      </w:r>
      <w:r w:rsidRPr="00405153">
        <w:rPr>
          <w:rFonts w:ascii="Garamond" w:hAnsi="Garamond"/>
          <w:sz w:val="24"/>
          <w:szCs w:val="24"/>
        </w:rPr>
        <w:t xml:space="preserve"> e senza discriminazioni irragionevoli. </w:t>
      </w:r>
    </w:p>
    <w:p w14:paraId="6C2C4B1D" w14:textId="77777777" w:rsidR="00D36836" w:rsidRDefault="0061721E" w:rsidP="0061721E">
      <w:pPr>
        <w:spacing w:after="0" w:line="240" w:lineRule="auto"/>
        <w:ind w:firstLine="567"/>
        <w:jc w:val="both"/>
        <w:rPr>
          <w:rFonts w:ascii="Garamond" w:hAnsi="Garamond"/>
          <w:sz w:val="24"/>
          <w:szCs w:val="24"/>
        </w:rPr>
      </w:pPr>
      <w:r w:rsidRPr="004E379C">
        <w:rPr>
          <w:rFonts w:ascii="Garamond" w:hAnsi="Garamond"/>
          <w:sz w:val="24"/>
          <w:szCs w:val="24"/>
        </w:rPr>
        <w:t xml:space="preserve">Se non altro, è utile osservare che proprio in costanza di fenomeni emergenziali di questo calibro non si discorre soltanto di diritti fondamentali, ma soprattutto della necessità di assolvere a doveri altrettanto fondamentali, come, ad esempio, ad un’eventuale vaccinazione obbligatoria generalizzata (prescritta da una legge </w:t>
      </w:r>
      <w:r w:rsidRPr="004E379C">
        <w:rPr>
          <w:rFonts w:ascii="Garamond" w:hAnsi="Garamond"/>
          <w:i/>
          <w:sz w:val="24"/>
          <w:szCs w:val="24"/>
        </w:rPr>
        <w:t>ad hoc</w:t>
      </w:r>
      <w:r w:rsidRPr="004E379C">
        <w:rPr>
          <w:rFonts w:ascii="Garamond" w:hAnsi="Garamond"/>
          <w:sz w:val="24"/>
          <w:szCs w:val="24"/>
        </w:rPr>
        <w:t xml:space="preserve"> in ottemperanza a</w:t>
      </w:r>
      <w:r>
        <w:rPr>
          <w:rFonts w:ascii="Garamond" w:hAnsi="Garamond"/>
          <w:sz w:val="24"/>
          <w:szCs w:val="24"/>
        </w:rPr>
        <w:t xml:space="preserve">i parametri indicati </w:t>
      </w:r>
      <w:r w:rsidRPr="004E379C">
        <w:rPr>
          <w:rFonts w:ascii="Garamond" w:hAnsi="Garamond"/>
          <w:sz w:val="24"/>
          <w:szCs w:val="24"/>
        </w:rPr>
        <w:t>all’art. 32 Cost) la cui osservanza può rivelarsi funzionale a garantire la sopravvivenza della nostra comunità nel tempo</w:t>
      </w:r>
      <w:r>
        <w:rPr>
          <w:rFonts w:ascii="Garamond" w:hAnsi="Garamond"/>
          <w:sz w:val="24"/>
          <w:szCs w:val="24"/>
        </w:rPr>
        <w:t xml:space="preserve"> </w:t>
      </w:r>
      <w:r w:rsidRPr="004E379C">
        <w:rPr>
          <w:rFonts w:ascii="Garamond" w:hAnsi="Garamond"/>
          <w:sz w:val="24"/>
          <w:szCs w:val="24"/>
        </w:rPr>
        <w:t>(come una sorta di</w:t>
      </w:r>
      <w:r>
        <w:rPr>
          <w:rFonts w:ascii="Garamond" w:hAnsi="Garamond"/>
          <w:sz w:val="24"/>
          <w:szCs w:val="24"/>
        </w:rPr>
        <w:t xml:space="preserve"> un diffuso</w:t>
      </w:r>
      <w:r w:rsidRPr="004E379C">
        <w:rPr>
          <w:rFonts w:ascii="Garamond" w:hAnsi="Garamond"/>
          <w:sz w:val="24"/>
          <w:szCs w:val="24"/>
        </w:rPr>
        <w:t xml:space="preserve"> </w:t>
      </w:r>
      <w:r w:rsidRPr="004E379C">
        <w:rPr>
          <w:rFonts w:ascii="Garamond" w:hAnsi="Garamond"/>
          <w:i/>
          <w:sz w:val="24"/>
          <w:szCs w:val="24"/>
        </w:rPr>
        <w:t xml:space="preserve">idem sentire de </w:t>
      </w:r>
      <w:proofErr w:type="spellStart"/>
      <w:r w:rsidRPr="004E379C">
        <w:rPr>
          <w:rFonts w:ascii="Garamond" w:hAnsi="Garamond"/>
          <w:i/>
          <w:sz w:val="24"/>
          <w:szCs w:val="24"/>
        </w:rPr>
        <w:t>republica</w:t>
      </w:r>
      <w:proofErr w:type="spellEnd"/>
      <w:r>
        <w:rPr>
          <w:rStyle w:val="Rimandonotaapidipagina"/>
          <w:rFonts w:ascii="Garamond" w:hAnsi="Garamond"/>
          <w:i/>
          <w:sz w:val="24"/>
          <w:szCs w:val="24"/>
        </w:rPr>
        <w:footnoteReference w:id="99"/>
      </w:r>
      <w:r w:rsidRPr="004E379C">
        <w:rPr>
          <w:rFonts w:ascii="Garamond" w:hAnsi="Garamond"/>
          <w:sz w:val="24"/>
          <w:szCs w:val="24"/>
        </w:rPr>
        <w:t xml:space="preserve">). </w:t>
      </w:r>
    </w:p>
    <w:p w14:paraId="7355B784" w14:textId="77777777" w:rsidR="00D36836" w:rsidRDefault="0061721E" w:rsidP="0061721E">
      <w:pPr>
        <w:spacing w:after="0" w:line="240" w:lineRule="auto"/>
        <w:ind w:firstLine="567"/>
        <w:jc w:val="both"/>
        <w:rPr>
          <w:rFonts w:ascii="Garamond" w:hAnsi="Garamond"/>
          <w:sz w:val="24"/>
          <w:szCs w:val="24"/>
        </w:rPr>
      </w:pPr>
      <w:r>
        <w:rPr>
          <w:rFonts w:ascii="Garamond" w:hAnsi="Garamond"/>
          <w:sz w:val="24"/>
          <w:szCs w:val="24"/>
        </w:rPr>
        <w:t xml:space="preserve">D’altronde, non è affatto raro, che, soprattutto nel contesto di emergenze sanitarie di questo calibro, taluni governi o istituzioni prescrivano certe condotte ai propri cittadini come necessarie al fine di tutelare la salute collettiva. </w:t>
      </w:r>
    </w:p>
    <w:p w14:paraId="00D19EB9" w14:textId="186199CB" w:rsidR="000D593D" w:rsidRDefault="0061721E" w:rsidP="0061721E">
      <w:pPr>
        <w:spacing w:after="0" w:line="240" w:lineRule="auto"/>
        <w:ind w:firstLine="567"/>
        <w:jc w:val="both"/>
        <w:rPr>
          <w:rFonts w:ascii="Garamond" w:hAnsi="Garamond"/>
          <w:sz w:val="24"/>
          <w:szCs w:val="24"/>
        </w:rPr>
      </w:pPr>
      <w:r>
        <w:rPr>
          <w:rFonts w:ascii="Garamond" w:hAnsi="Garamond"/>
          <w:sz w:val="24"/>
          <w:szCs w:val="24"/>
        </w:rPr>
        <w:t>Tuttavia, come ha ben avvertito l’Organizzazione mondiale della sanità</w:t>
      </w:r>
      <w:r>
        <w:rPr>
          <w:rStyle w:val="Rimandonotaapidipagina"/>
          <w:rFonts w:ascii="Garamond" w:hAnsi="Garamond"/>
          <w:sz w:val="24"/>
          <w:szCs w:val="24"/>
        </w:rPr>
        <w:footnoteReference w:id="100"/>
      </w:r>
      <w:r>
        <w:rPr>
          <w:rFonts w:ascii="Garamond" w:hAnsi="Garamond"/>
          <w:sz w:val="24"/>
          <w:szCs w:val="24"/>
        </w:rPr>
        <w:t xml:space="preserve"> occorre che le medesime istituzioni si preoccupino anche di valutare qualsiasi risvolto etico-morale, che possa essere lambito da tali misure (sia pur necessarie e coordinate a fini sociali); assicurando in tal senso la trasparenza nell’informazione, in quanto potenzialmente idonea ad aumentare la fiducia dei cittadini nelle istituzioni. Tale considerazione assume ancor più rilevanza, </w:t>
      </w:r>
      <w:r w:rsidRPr="00B641DF">
        <w:rPr>
          <w:rFonts w:ascii="Garamond" w:hAnsi="Garamond"/>
          <w:i/>
          <w:sz w:val="24"/>
          <w:szCs w:val="24"/>
        </w:rPr>
        <w:t>a fortiori</w:t>
      </w:r>
      <w:r>
        <w:rPr>
          <w:rFonts w:ascii="Garamond" w:hAnsi="Garamond"/>
          <w:sz w:val="24"/>
          <w:szCs w:val="24"/>
        </w:rPr>
        <w:t xml:space="preserve"> in un contesto in cui l’esibizione del certificato verde è necessaria per accedere a determinati luoghi o esercitare diritti; talché il legislatore interno - proprio in una situazione in cui la somministrazione del vaccino può non essere sufficiente a interrompere la catena di trasmissione del contagio – nell’applicazione del predetto strumento, è chiamato a soppesare </w:t>
      </w:r>
      <w:r>
        <w:rPr>
          <w:rFonts w:ascii="Garamond" w:hAnsi="Garamond"/>
          <w:sz w:val="24"/>
          <w:szCs w:val="24"/>
        </w:rPr>
        <w:lastRenderedPageBreak/>
        <w:t>(attraverso la consultazione di appositi comitati scientifici) anche l’efficacia stessa del vaccino a contrastare le nuove varianti del SARS-COV-2.</w:t>
      </w:r>
    </w:p>
    <w:p w14:paraId="68A9D802" w14:textId="04C2DE3A" w:rsidR="0061721E" w:rsidRDefault="0061721E" w:rsidP="0061721E">
      <w:pPr>
        <w:spacing w:after="0" w:line="240" w:lineRule="auto"/>
        <w:ind w:firstLine="567"/>
        <w:jc w:val="both"/>
        <w:rPr>
          <w:rFonts w:ascii="Garamond" w:hAnsi="Garamond"/>
          <w:sz w:val="24"/>
          <w:szCs w:val="24"/>
        </w:rPr>
      </w:pPr>
      <w:r w:rsidRPr="00B641DF">
        <w:rPr>
          <w:rFonts w:ascii="Garamond" w:hAnsi="Garamond"/>
          <w:sz w:val="24"/>
          <w:szCs w:val="24"/>
        </w:rPr>
        <w:t>In definitiva, le libertà individuali, spesso richiamate da molti, andrebbero relazionate e relativizzate rispetto a quelle degli altri, specie nel caso in cui un comportamento individuale sia idoneo ad incidere su un bene</w:t>
      </w:r>
      <w:r w:rsidRPr="00B641DF">
        <w:rPr>
          <w:rFonts w:ascii="Garamond" w:hAnsi="Garamond"/>
          <w:sz w:val="24"/>
          <w:szCs w:val="24"/>
          <w:vertAlign w:val="superscript"/>
        </w:rPr>
        <w:footnoteReference w:id="101"/>
      </w:r>
      <w:r w:rsidR="004414FC">
        <w:rPr>
          <w:rFonts w:ascii="Garamond" w:hAnsi="Garamond"/>
          <w:sz w:val="24"/>
          <w:szCs w:val="24"/>
        </w:rPr>
        <w:t xml:space="preserve"> </w:t>
      </w:r>
      <w:r w:rsidRPr="00B641DF">
        <w:rPr>
          <w:rFonts w:ascii="Garamond" w:hAnsi="Garamond"/>
          <w:sz w:val="24"/>
          <w:szCs w:val="24"/>
        </w:rPr>
        <w:t xml:space="preserve">giuridico, così importante, come quello della salute </w:t>
      </w:r>
      <w:r>
        <w:rPr>
          <w:rFonts w:ascii="Garamond" w:hAnsi="Garamond"/>
          <w:sz w:val="24"/>
          <w:szCs w:val="24"/>
        </w:rPr>
        <w:t>collettiva</w:t>
      </w:r>
      <w:r w:rsidRPr="00B641DF">
        <w:rPr>
          <w:rFonts w:ascii="Garamond" w:hAnsi="Garamond"/>
          <w:sz w:val="24"/>
          <w:szCs w:val="24"/>
          <w:vertAlign w:val="superscript"/>
        </w:rPr>
        <w:footnoteReference w:id="102"/>
      </w:r>
      <w:r w:rsidRPr="00B641DF">
        <w:rPr>
          <w:rFonts w:ascii="Garamond" w:hAnsi="Garamond"/>
          <w:sz w:val="24"/>
          <w:szCs w:val="24"/>
        </w:rPr>
        <w:t>.</w:t>
      </w:r>
      <w:r>
        <w:rPr>
          <w:rFonts w:ascii="Garamond" w:hAnsi="Garamond"/>
          <w:sz w:val="24"/>
          <w:szCs w:val="24"/>
        </w:rPr>
        <w:t xml:space="preserve"> </w:t>
      </w:r>
      <w:r w:rsidRPr="00405153">
        <w:rPr>
          <w:rFonts w:ascii="Garamond" w:hAnsi="Garamond"/>
          <w:sz w:val="24"/>
          <w:szCs w:val="24"/>
        </w:rPr>
        <w:t xml:space="preserve">Certamente, in seguito alla cessazione della pandemia o in considerazione del mutare del quadro epidemiologico a livello regionale, dovrà ritenersi a quel punto il certificato verde misura non più necessaria e proporzionata rispetto al fine di tutelare la salute pubblica. Se i vari Stati, secondo il proprio diritto interno, sono </w:t>
      </w:r>
      <w:r>
        <w:rPr>
          <w:rFonts w:ascii="Garamond" w:hAnsi="Garamond"/>
          <w:sz w:val="24"/>
          <w:szCs w:val="24"/>
        </w:rPr>
        <w:t>obbligati</w:t>
      </w:r>
      <w:r w:rsidRPr="00405153">
        <w:rPr>
          <w:rFonts w:ascii="Garamond" w:hAnsi="Garamond"/>
          <w:sz w:val="24"/>
          <w:szCs w:val="24"/>
        </w:rPr>
        <w:t xml:space="preserve"> ad intervenire per ridurre la diffusione del contagio, analogamente</w:t>
      </w:r>
      <w:r>
        <w:rPr>
          <w:rFonts w:ascii="Garamond" w:hAnsi="Garamond"/>
          <w:sz w:val="24"/>
          <w:szCs w:val="24"/>
        </w:rPr>
        <w:t xml:space="preserve"> i membri del Patto internazionale sui diritti economici, sociali e culturali hanno l’obbligo</w:t>
      </w:r>
      <w:r w:rsidR="00C31B88">
        <w:rPr>
          <w:rFonts w:ascii="Garamond" w:hAnsi="Garamond"/>
          <w:sz w:val="24"/>
          <w:szCs w:val="24"/>
        </w:rPr>
        <w:t xml:space="preserve"> (particolare) </w:t>
      </w:r>
      <w:r w:rsidRPr="00405153">
        <w:rPr>
          <w:rFonts w:ascii="Garamond" w:hAnsi="Garamond"/>
          <w:sz w:val="24"/>
          <w:szCs w:val="24"/>
        </w:rPr>
        <w:t>di adottare misure di profilassi, cura e controllo per contenere le malattie epidemiche</w:t>
      </w:r>
      <w:r>
        <w:rPr>
          <w:rFonts w:ascii="Garamond" w:hAnsi="Garamond"/>
          <w:sz w:val="24"/>
          <w:szCs w:val="24"/>
        </w:rPr>
        <w:t xml:space="preserve"> </w:t>
      </w:r>
      <w:r w:rsidRPr="00140887">
        <w:rPr>
          <w:rFonts w:ascii="Garamond" w:hAnsi="Garamond"/>
          <w:i/>
          <w:sz w:val="24"/>
          <w:szCs w:val="24"/>
        </w:rPr>
        <w:t>ex</w:t>
      </w:r>
      <w:r>
        <w:rPr>
          <w:rFonts w:ascii="Garamond" w:hAnsi="Garamond"/>
          <w:sz w:val="24"/>
          <w:szCs w:val="24"/>
        </w:rPr>
        <w:t xml:space="preserve"> art. 12, </w:t>
      </w:r>
      <w:r w:rsidRPr="00405153">
        <w:rPr>
          <w:rFonts w:ascii="Garamond" w:hAnsi="Garamond"/>
          <w:sz w:val="24"/>
          <w:szCs w:val="24"/>
        </w:rPr>
        <w:t xml:space="preserve">tra cui rientra certamente l’immunizzazione attraverso il vaccino contro le più diffuse malattie infettive, qualificata, tra l’altro, dal Comitato ONU per i diritti economici, sociali e culturali come </w:t>
      </w:r>
      <w:r w:rsidR="003E1FE0" w:rsidRPr="003E1FE0">
        <w:rPr>
          <w:rFonts w:ascii="Garamond" w:hAnsi="Garamond"/>
          <w:sz w:val="24"/>
          <w:szCs w:val="24"/>
        </w:rPr>
        <w:t>«</w:t>
      </w:r>
      <w:proofErr w:type="spellStart"/>
      <w:r w:rsidRPr="0058039C">
        <w:rPr>
          <w:rFonts w:ascii="Garamond" w:hAnsi="Garamond"/>
          <w:i/>
          <w:sz w:val="24"/>
          <w:szCs w:val="24"/>
        </w:rPr>
        <w:t>priority</w:t>
      </w:r>
      <w:proofErr w:type="spellEnd"/>
      <w:r w:rsidRPr="0058039C">
        <w:rPr>
          <w:rFonts w:ascii="Garamond" w:hAnsi="Garamond"/>
          <w:i/>
          <w:sz w:val="24"/>
          <w:szCs w:val="24"/>
        </w:rPr>
        <w:t xml:space="preserve"> </w:t>
      </w:r>
      <w:proofErr w:type="spellStart"/>
      <w:r w:rsidRPr="0058039C">
        <w:rPr>
          <w:rFonts w:ascii="Garamond" w:hAnsi="Garamond"/>
          <w:i/>
          <w:sz w:val="24"/>
          <w:szCs w:val="24"/>
        </w:rPr>
        <w:t>obligation</w:t>
      </w:r>
      <w:proofErr w:type="spellEnd"/>
      <w:r w:rsidRPr="0058039C">
        <w:rPr>
          <w:rFonts w:ascii="Garamond" w:hAnsi="Garamond"/>
          <w:i/>
          <w:sz w:val="24"/>
          <w:szCs w:val="24"/>
        </w:rPr>
        <w:t xml:space="preserve"> </w:t>
      </w:r>
      <w:r w:rsidR="00237526" w:rsidRPr="00237526">
        <w:rPr>
          <w:rFonts w:ascii="Garamond" w:hAnsi="Garamond"/>
          <w:sz w:val="24"/>
          <w:szCs w:val="24"/>
        </w:rPr>
        <w:t>(</w:t>
      </w:r>
      <w:r w:rsidRPr="00237526">
        <w:rPr>
          <w:rFonts w:ascii="Garamond" w:hAnsi="Garamond"/>
          <w:sz w:val="24"/>
          <w:szCs w:val="24"/>
        </w:rPr>
        <w:t>…</w:t>
      </w:r>
      <w:r w:rsidR="00237526" w:rsidRPr="00237526">
        <w:rPr>
          <w:rFonts w:ascii="Garamond" w:hAnsi="Garamond"/>
          <w:sz w:val="24"/>
          <w:szCs w:val="24"/>
        </w:rPr>
        <w:t>)</w:t>
      </w:r>
      <w:r w:rsidRPr="0058039C">
        <w:rPr>
          <w:rFonts w:ascii="Garamond" w:hAnsi="Garamond"/>
          <w:i/>
          <w:sz w:val="24"/>
          <w:szCs w:val="24"/>
        </w:rPr>
        <w:t xml:space="preserve"> </w:t>
      </w:r>
      <w:proofErr w:type="spellStart"/>
      <w:r w:rsidRPr="0058039C">
        <w:rPr>
          <w:rFonts w:ascii="Garamond" w:hAnsi="Garamond"/>
          <w:i/>
          <w:sz w:val="24"/>
          <w:szCs w:val="24"/>
        </w:rPr>
        <w:t>concerning</w:t>
      </w:r>
      <w:proofErr w:type="spellEnd"/>
      <w:r w:rsidRPr="0058039C">
        <w:rPr>
          <w:rFonts w:ascii="Garamond" w:hAnsi="Garamond"/>
          <w:i/>
          <w:sz w:val="24"/>
          <w:szCs w:val="24"/>
        </w:rPr>
        <w:t xml:space="preserve"> the right to health</w:t>
      </w:r>
      <w:r w:rsidR="003E1FE0" w:rsidRPr="003E1FE0">
        <w:rPr>
          <w:rFonts w:ascii="Garamond" w:hAnsi="Garamond"/>
          <w:sz w:val="24"/>
          <w:szCs w:val="24"/>
        </w:rPr>
        <w:t>»</w:t>
      </w:r>
      <w:r w:rsidRPr="00405153">
        <w:rPr>
          <w:rFonts w:ascii="Garamond" w:hAnsi="Garamond"/>
          <w:sz w:val="24"/>
          <w:szCs w:val="24"/>
          <w:vertAlign w:val="superscript"/>
          <w:lang w:val="en-US"/>
        </w:rPr>
        <w:footnoteReference w:id="103"/>
      </w:r>
      <w:r w:rsidRPr="0058039C">
        <w:rPr>
          <w:rFonts w:ascii="Garamond" w:hAnsi="Garamond"/>
          <w:sz w:val="24"/>
          <w:szCs w:val="24"/>
        </w:rPr>
        <w:t>, potendo dunque ben annoverarsi (per la su</w:t>
      </w:r>
      <w:r w:rsidR="003E1FE0">
        <w:rPr>
          <w:rFonts w:ascii="Garamond" w:hAnsi="Garamond"/>
          <w:sz w:val="24"/>
          <w:szCs w:val="24"/>
        </w:rPr>
        <w:t>a</w:t>
      </w:r>
      <w:r w:rsidRPr="0058039C">
        <w:rPr>
          <w:rFonts w:ascii="Garamond" w:hAnsi="Garamond"/>
          <w:sz w:val="24"/>
          <w:szCs w:val="24"/>
        </w:rPr>
        <w:t xml:space="preserve"> affinità) il </w:t>
      </w:r>
      <w:r w:rsidRPr="0058039C">
        <w:rPr>
          <w:rFonts w:ascii="Garamond" w:hAnsi="Garamond"/>
          <w:i/>
          <w:sz w:val="24"/>
          <w:szCs w:val="24"/>
        </w:rPr>
        <w:t>green pass</w:t>
      </w:r>
      <w:r w:rsidRPr="0058039C">
        <w:rPr>
          <w:rFonts w:ascii="Garamond" w:hAnsi="Garamond"/>
          <w:sz w:val="24"/>
          <w:szCs w:val="24"/>
        </w:rPr>
        <w:t xml:space="preserve"> tra queste misure.</w:t>
      </w:r>
      <w:r w:rsidRPr="00405153">
        <w:rPr>
          <w:rFonts w:ascii="Garamond" w:hAnsi="Garamond"/>
          <w:sz w:val="24"/>
          <w:szCs w:val="24"/>
        </w:rPr>
        <w:t xml:space="preserve"> </w:t>
      </w:r>
    </w:p>
    <w:p w14:paraId="109D44F5" w14:textId="77777777" w:rsidR="000D593D" w:rsidRDefault="0061721E" w:rsidP="0061721E">
      <w:pPr>
        <w:spacing w:after="0" w:line="240" w:lineRule="auto"/>
        <w:ind w:firstLine="567"/>
        <w:jc w:val="both"/>
        <w:rPr>
          <w:rFonts w:ascii="Garamond" w:hAnsi="Garamond"/>
          <w:sz w:val="24"/>
          <w:szCs w:val="24"/>
        </w:rPr>
      </w:pPr>
      <w:r>
        <w:rPr>
          <w:rFonts w:ascii="Garamond" w:hAnsi="Garamond"/>
          <w:sz w:val="24"/>
          <w:szCs w:val="24"/>
        </w:rPr>
        <w:t>Ciononostante</w:t>
      </w:r>
      <w:r w:rsidRPr="00405153">
        <w:rPr>
          <w:rFonts w:ascii="Garamond" w:hAnsi="Garamond"/>
          <w:sz w:val="24"/>
          <w:szCs w:val="24"/>
        </w:rPr>
        <w:t xml:space="preserve">, se in linea tendenziale, dal punto di vista bioetico il </w:t>
      </w:r>
      <w:r w:rsidRPr="00405153">
        <w:rPr>
          <w:rFonts w:ascii="Garamond" w:hAnsi="Garamond"/>
          <w:i/>
          <w:sz w:val="24"/>
          <w:szCs w:val="24"/>
        </w:rPr>
        <w:t>green pass</w:t>
      </w:r>
      <w:r w:rsidRPr="00405153">
        <w:rPr>
          <w:rFonts w:ascii="Garamond" w:hAnsi="Garamond"/>
          <w:sz w:val="24"/>
          <w:szCs w:val="24"/>
        </w:rPr>
        <w:t xml:space="preserve"> ha fortemente incentivato la vaccinazione, (che, peraltro, non è sempre in grado di prevenire l’infezione), non si riesce a comprendere, dall’altro, perché alcuni Paesi (tra cui l’Italia e la Francia) non abbiano introdotto una legge </w:t>
      </w:r>
      <w:r w:rsidRPr="00405153">
        <w:rPr>
          <w:rFonts w:ascii="Garamond" w:hAnsi="Garamond"/>
          <w:i/>
          <w:sz w:val="24"/>
          <w:szCs w:val="24"/>
        </w:rPr>
        <w:t>ad hoc</w:t>
      </w:r>
      <w:r w:rsidRPr="00405153">
        <w:rPr>
          <w:rFonts w:ascii="Garamond" w:hAnsi="Garamond"/>
          <w:sz w:val="24"/>
          <w:szCs w:val="24"/>
        </w:rPr>
        <w:t xml:space="preserve"> a tutela delle reazioni avverse ai vaccini </w:t>
      </w:r>
      <w:proofErr w:type="spellStart"/>
      <w:r w:rsidRPr="00405153">
        <w:rPr>
          <w:rFonts w:ascii="Garamond" w:hAnsi="Garamond"/>
          <w:sz w:val="24"/>
          <w:szCs w:val="24"/>
        </w:rPr>
        <w:t>anticovid</w:t>
      </w:r>
      <w:proofErr w:type="spellEnd"/>
      <w:r w:rsidRPr="00405153">
        <w:rPr>
          <w:rStyle w:val="Rimandonotaapidipagina"/>
          <w:rFonts w:ascii="Garamond" w:hAnsi="Garamond"/>
          <w:sz w:val="24"/>
          <w:szCs w:val="24"/>
        </w:rPr>
        <w:footnoteReference w:id="104"/>
      </w:r>
      <w:r w:rsidRPr="00405153">
        <w:rPr>
          <w:rFonts w:ascii="Garamond" w:hAnsi="Garamond"/>
          <w:sz w:val="24"/>
          <w:szCs w:val="24"/>
        </w:rPr>
        <w:t xml:space="preserve"> (considerata anche la brevità dei tempi di realizzazione dei preparati) ovvero, ancora, la divergente</w:t>
      </w:r>
      <w:r w:rsidRPr="00405153">
        <w:rPr>
          <w:rStyle w:val="Rimandonotaapidipagina"/>
          <w:rFonts w:ascii="Garamond" w:hAnsi="Garamond"/>
          <w:sz w:val="24"/>
          <w:szCs w:val="24"/>
        </w:rPr>
        <w:footnoteReference w:id="105"/>
      </w:r>
      <w:r w:rsidRPr="00405153">
        <w:rPr>
          <w:rFonts w:ascii="Garamond" w:hAnsi="Garamond"/>
          <w:sz w:val="24"/>
          <w:szCs w:val="24"/>
        </w:rPr>
        <w:t xml:space="preserve"> durata della certificazione (in Italia) rispetto a quella corrispondente alla copertura offerta dal vaccino, oppure ancora l’introduzione di tale strumento attraverso la tecnica di normazione del decreto legge. Proprio questi ultimi assunti dimostrerebbero la natura più politica del certificato che propriamente scientifica.</w:t>
      </w:r>
    </w:p>
    <w:p w14:paraId="71A6763F" w14:textId="7C6B17E2" w:rsidR="0061721E" w:rsidRDefault="0061721E" w:rsidP="0061721E">
      <w:pPr>
        <w:spacing w:after="0" w:line="240" w:lineRule="auto"/>
        <w:ind w:firstLine="567"/>
        <w:jc w:val="both"/>
        <w:rPr>
          <w:rFonts w:ascii="Garamond" w:hAnsi="Garamond"/>
          <w:sz w:val="24"/>
          <w:szCs w:val="24"/>
        </w:rPr>
      </w:pPr>
      <w:r w:rsidRPr="00405153">
        <w:rPr>
          <w:rFonts w:ascii="Garamond" w:hAnsi="Garamond"/>
          <w:sz w:val="24"/>
          <w:szCs w:val="24"/>
        </w:rPr>
        <w:t xml:space="preserve">Senza dubbio, però, tale misura </w:t>
      </w:r>
      <w:r w:rsidRPr="0058039C">
        <w:rPr>
          <w:rFonts w:ascii="Garamond" w:hAnsi="Garamond"/>
          <w:sz w:val="24"/>
          <w:szCs w:val="24"/>
        </w:rPr>
        <w:t>si è mostrata strumentale a proteggere la salute pubblica</w:t>
      </w:r>
      <w:r>
        <w:rPr>
          <w:rStyle w:val="Rimandonotaapidipagina"/>
          <w:rFonts w:ascii="Garamond" w:hAnsi="Garamond"/>
          <w:sz w:val="24"/>
          <w:szCs w:val="24"/>
          <w:lang w:val="en-US"/>
        </w:rPr>
        <w:footnoteReference w:id="106"/>
      </w:r>
      <w:r w:rsidRPr="0058039C">
        <w:rPr>
          <w:rFonts w:ascii="Garamond" w:hAnsi="Garamond"/>
          <w:sz w:val="24"/>
          <w:szCs w:val="24"/>
        </w:rPr>
        <w:t>, riducendo drasticamente le ospedalizzazioni e</w:t>
      </w:r>
      <w:r w:rsidR="000E4098">
        <w:rPr>
          <w:rFonts w:ascii="Garamond" w:hAnsi="Garamond"/>
          <w:sz w:val="24"/>
          <w:szCs w:val="24"/>
        </w:rPr>
        <w:t xml:space="preserve"> la</w:t>
      </w:r>
      <w:r w:rsidRPr="0058039C">
        <w:rPr>
          <w:rFonts w:ascii="Garamond" w:hAnsi="Garamond"/>
          <w:sz w:val="24"/>
          <w:szCs w:val="24"/>
        </w:rPr>
        <w:t xml:space="preserve"> mortalità</w:t>
      </w:r>
      <w:r w:rsidR="000E4098">
        <w:rPr>
          <w:rFonts w:ascii="Garamond" w:hAnsi="Garamond"/>
          <w:sz w:val="24"/>
          <w:szCs w:val="24"/>
        </w:rPr>
        <w:t xml:space="preserve"> generale</w:t>
      </w:r>
      <w:r w:rsidRPr="0058039C">
        <w:rPr>
          <w:rFonts w:ascii="Garamond" w:hAnsi="Garamond"/>
          <w:sz w:val="24"/>
          <w:szCs w:val="24"/>
        </w:rPr>
        <w:t>, con l’obiettivo di garantire la progressiva ripresa</w:t>
      </w:r>
      <w:r>
        <w:rPr>
          <w:rStyle w:val="Rimandonotaapidipagina"/>
          <w:rFonts w:ascii="Garamond" w:hAnsi="Garamond"/>
          <w:sz w:val="24"/>
          <w:szCs w:val="24"/>
          <w:lang w:val="en-US"/>
        </w:rPr>
        <w:footnoteReference w:id="107"/>
      </w:r>
      <w:r w:rsidRPr="0058039C">
        <w:rPr>
          <w:rFonts w:ascii="Garamond" w:hAnsi="Garamond"/>
          <w:sz w:val="24"/>
          <w:szCs w:val="24"/>
        </w:rPr>
        <w:t xml:space="preserve"> delle attività economiche in sicurezza</w:t>
      </w:r>
      <w:r w:rsidR="000E4098">
        <w:rPr>
          <w:rFonts w:ascii="Garamond" w:hAnsi="Garamond"/>
          <w:sz w:val="24"/>
          <w:szCs w:val="24"/>
        </w:rPr>
        <w:t>.</w:t>
      </w:r>
      <w:r w:rsidRPr="0058039C">
        <w:rPr>
          <w:rFonts w:ascii="Garamond" w:hAnsi="Garamond"/>
          <w:sz w:val="24"/>
          <w:szCs w:val="24"/>
        </w:rPr>
        <w:t xml:space="preserve"> </w:t>
      </w:r>
      <w:r w:rsidR="000E4098">
        <w:rPr>
          <w:rFonts w:ascii="Garamond" w:hAnsi="Garamond"/>
          <w:sz w:val="24"/>
          <w:szCs w:val="24"/>
        </w:rPr>
        <w:t>C</w:t>
      </w:r>
      <w:r w:rsidRPr="0058039C">
        <w:rPr>
          <w:rFonts w:ascii="Garamond" w:hAnsi="Garamond"/>
          <w:sz w:val="24"/>
          <w:szCs w:val="24"/>
        </w:rPr>
        <w:t xml:space="preserve">iò </w:t>
      </w:r>
      <w:r w:rsidRPr="0058039C">
        <w:rPr>
          <w:rFonts w:ascii="Garamond" w:hAnsi="Garamond"/>
          <w:sz w:val="24"/>
          <w:szCs w:val="24"/>
        </w:rPr>
        <w:lastRenderedPageBreak/>
        <w:t>dunque potrebbe indurre a considerare tale certificato eventualmente applicabile alle future emergenze sanitarie</w:t>
      </w:r>
      <w:r w:rsidRPr="00405153">
        <w:rPr>
          <w:rFonts w:ascii="Garamond" w:hAnsi="Garamond"/>
          <w:sz w:val="24"/>
          <w:szCs w:val="24"/>
          <w:vertAlign w:val="superscript"/>
          <w:lang w:val="en-US"/>
        </w:rPr>
        <w:footnoteReference w:id="108"/>
      </w:r>
      <w:r w:rsidRPr="0058039C">
        <w:rPr>
          <w:rFonts w:ascii="Garamond" w:hAnsi="Garamond"/>
          <w:sz w:val="24"/>
          <w:szCs w:val="24"/>
        </w:rPr>
        <w:t xml:space="preserve">. Bisogna, infatti, rilevare che da più parti si è sostenuto che il </w:t>
      </w:r>
      <w:r w:rsidRPr="0058039C">
        <w:rPr>
          <w:rFonts w:ascii="Garamond" w:hAnsi="Garamond"/>
          <w:i/>
          <w:sz w:val="24"/>
          <w:szCs w:val="24"/>
        </w:rPr>
        <w:t xml:space="preserve">Eu digital Covid-19 Certificate </w:t>
      </w:r>
      <w:r w:rsidRPr="0058039C">
        <w:rPr>
          <w:rFonts w:ascii="Garamond" w:hAnsi="Garamond"/>
          <w:sz w:val="24"/>
          <w:szCs w:val="24"/>
        </w:rPr>
        <w:t>(</w:t>
      </w:r>
      <w:r w:rsidRPr="0058039C">
        <w:rPr>
          <w:rFonts w:ascii="Garamond" w:hAnsi="Garamond"/>
          <w:i/>
          <w:sz w:val="24"/>
          <w:szCs w:val="24"/>
        </w:rPr>
        <w:t>green pass</w:t>
      </w:r>
      <w:r w:rsidRPr="0058039C">
        <w:rPr>
          <w:rFonts w:ascii="Garamond" w:hAnsi="Garamond"/>
          <w:sz w:val="24"/>
          <w:szCs w:val="24"/>
        </w:rPr>
        <w:t xml:space="preserve">) dell’UE abbia rappresentato il mezzo più </w:t>
      </w:r>
      <w:r w:rsidR="002D78D7" w:rsidRPr="002D78D7">
        <w:rPr>
          <w:rFonts w:ascii="Garamond" w:hAnsi="Garamond"/>
          <w:sz w:val="24"/>
          <w:szCs w:val="24"/>
        </w:rPr>
        <w:t>«</w:t>
      </w:r>
      <w:r w:rsidRPr="00156101">
        <w:rPr>
          <w:rFonts w:ascii="Garamond" w:hAnsi="Garamond"/>
          <w:sz w:val="24"/>
          <w:szCs w:val="24"/>
        </w:rPr>
        <w:t>sicuro per viaggiare liberamente in Europa durante la pandemia di COVID-19</w:t>
      </w:r>
      <w:r w:rsidR="002D78D7" w:rsidRPr="002D78D7">
        <w:rPr>
          <w:rFonts w:ascii="Garamond" w:hAnsi="Garamond"/>
          <w:sz w:val="24"/>
          <w:szCs w:val="24"/>
        </w:rPr>
        <w:t>»</w:t>
      </w:r>
      <w:r>
        <w:rPr>
          <w:rStyle w:val="Rimandonotaapidipagina"/>
          <w:rFonts w:ascii="Garamond" w:hAnsi="Garamond"/>
          <w:sz w:val="24"/>
          <w:szCs w:val="24"/>
        </w:rPr>
        <w:footnoteReference w:id="109"/>
      </w:r>
      <w:r>
        <w:rPr>
          <w:rFonts w:ascii="Garamond" w:hAnsi="Garamond"/>
          <w:sz w:val="24"/>
          <w:szCs w:val="24"/>
        </w:rPr>
        <w:t>.</w:t>
      </w:r>
      <w:r w:rsidRPr="0058039C">
        <w:rPr>
          <w:rFonts w:ascii="Garamond" w:hAnsi="Garamond"/>
          <w:sz w:val="24"/>
          <w:szCs w:val="24"/>
        </w:rPr>
        <w:tab/>
      </w:r>
    </w:p>
    <w:p w14:paraId="2E58AECD" w14:textId="7FC83687" w:rsidR="0061721E" w:rsidRDefault="0061721E" w:rsidP="0061721E">
      <w:pPr>
        <w:spacing w:after="0" w:line="240" w:lineRule="auto"/>
        <w:ind w:firstLine="567"/>
        <w:jc w:val="both"/>
        <w:rPr>
          <w:rFonts w:ascii="Garamond" w:hAnsi="Garamond"/>
          <w:sz w:val="24"/>
          <w:szCs w:val="24"/>
        </w:rPr>
      </w:pPr>
      <w:r w:rsidRPr="0058039C">
        <w:rPr>
          <w:rFonts w:ascii="Garamond" w:hAnsi="Garamond"/>
          <w:sz w:val="24"/>
          <w:szCs w:val="24"/>
        </w:rPr>
        <w:t xml:space="preserve">In ogni caso, </w:t>
      </w:r>
      <w:r>
        <w:rPr>
          <w:rFonts w:ascii="Garamond" w:hAnsi="Garamond"/>
          <w:sz w:val="24"/>
          <w:szCs w:val="24"/>
        </w:rPr>
        <w:t xml:space="preserve">è chiaro (come emerge dalla normativa sulla proroga del </w:t>
      </w:r>
      <w:r w:rsidRPr="00DF10A3">
        <w:rPr>
          <w:rFonts w:ascii="Garamond" w:hAnsi="Garamond"/>
          <w:i/>
          <w:sz w:val="24"/>
          <w:szCs w:val="24"/>
        </w:rPr>
        <w:t>green pass</w:t>
      </w:r>
      <w:r>
        <w:rPr>
          <w:rFonts w:ascii="Garamond" w:hAnsi="Garamond"/>
          <w:sz w:val="24"/>
          <w:szCs w:val="24"/>
        </w:rPr>
        <w:t xml:space="preserve">) che </w:t>
      </w:r>
      <w:r w:rsidR="002D78D7" w:rsidRPr="002D78D7">
        <w:rPr>
          <w:rFonts w:ascii="Garamond" w:hAnsi="Garamond"/>
          <w:sz w:val="24"/>
          <w:szCs w:val="24"/>
        </w:rPr>
        <w:t>«</w:t>
      </w:r>
      <w:r w:rsidRPr="00156101">
        <w:rPr>
          <w:rFonts w:ascii="Garamond" w:hAnsi="Garamond"/>
          <w:sz w:val="24"/>
          <w:szCs w:val="24"/>
        </w:rPr>
        <w:t>non si può escludere la possibilità di un peggioramento della situazione pandemica dovuto all'emergere di nuove varianti di SARS-CoV-2 che destano preoccupazione</w:t>
      </w:r>
      <w:r w:rsidR="002D78D7" w:rsidRPr="002D78D7">
        <w:rPr>
          <w:rFonts w:ascii="Garamond" w:hAnsi="Garamond"/>
          <w:sz w:val="24"/>
          <w:szCs w:val="24"/>
        </w:rPr>
        <w:t>»</w:t>
      </w:r>
      <w:r>
        <w:rPr>
          <w:rStyle w:val="Rimandonotaapidipagina"/>
          <w:rFonts w:ascii="Garamond" w:hAnsi="Garamond"/>
          <w:sz w:val="24"/>
          <w:szCs w:val="24"/>
        </w:rPr>
        <w:footnoteReference w:id="110"/>
      </w:r>
      <w:r>
        <w:rPr>
          <w:rFonts w:ascii="Garamond" w:hAnsi="Garamond"/>
          <w:sz w:val="24"/>
          <w:szCs w:val="24"/>
        </w:rPr>
        <w:t>.</w:t>
      </w:r>
      <w:r w:rsidR="000E4098">
        <w:rPr>
          <w:rFonts w:ascii="Garamond" w:hAnsi="Garamond"/>
          <w:sz w:val="24"/>
          <w:szCs w:val="24"/>
        </w:rPr>
        <w:t xml:space="preserve"> Tale clausola potrà dunque rappresentare </w:t>
      </w:r>
      <w:r w:rsidR="001742B3">
        <w:rPr>
          <w:rFonts w:ascii="Garamond" w:hAnsi="Garamond"/>
          <w:sz w:val="24"/>
          <w:szCs w:val="24"/>
        </w:rPr>
        <w:t xml:space="preserve">un importante </w:t>
      </w:r>
      <w:r w:rsidR="000E4098">
        <w:rPr>
          <w:rFonts w:ascii="Garamond" w:hAnsi="Garamond"/>
          <w:sz w:val="24"/>
          <w:szCs w:val="24"/>
        </w:rPr>
        <w:t xml:space="preserve">argomento giuridico per i legislatori (nazionali ed europei) per l’introduzione di (eventuali) nuove restrizioni alle libertà individuali, </w:t>
      </w:r>
      <w:proofErr w:type="spellStart"/>
      <w:r w:rsidR="000E4098">
        <w:rPr>
          <w:rFonts w:ascii="Garamond" w:hAnsi="Garamond"/>
          <w:sz w:val="24"/>
          <w:szCs w:val="24"/>
        </w:rPr>
        <w:t>purchè</w:t>
      </w:r>
      <w:proofErr w:type="spellEnd"/>
      <w:r w:rsidR="000E4098">
        <w:rPr>
          <w:rFonts w:ascii="Garamond" w:hAnsi="Garamond"/>
          <w:sz w:val="24"/>
          <w:szCs w:val="24"/>
        </w:rPr>
        <w:t xml:space="preserve"> necessarie e proporzionate rispetto all’obiettivo di tutelare la salute collettiva.</w:t>
      </w:r>
    </w:p>
    <w:p w14:paraId="2E04B65A" w14:textId="354019E7" w:rsidR="000D593D" w:rsidRPr="00A57F10" w:rsidRDefault="0061721E" w:rsidP="000D593D">
      <w:pPr>
        <w:spacing w:after="0" w:line="240" w:lineRule="auto"/>
        <w:ind w:firstLine="567"/>
        <w:jc w:val="both"/>
        <w:rPr>
          <w:rFonts w:ascii="Garamond" w:hAnsi="Garamond"/>
        </w:rPr>
      </w:pPr>
      <w:r w:rsidRPr="00405153">
        <w:rPr>
          <w:rFonts w:ascii="Garamond" w:hAnsi="Garamond"/>
          <w:sz w:val="24"/>
          <w:szCs w:val="24"/>
        </w:rPr>
        <w:t>In conclusione, tale visione solidarista, offerta anche dai giudici di Strasburgo nei due casi</w:t>
      </w:r>
      <w:r>
        <w:rPr>
          <w:rFonts w:ascii="Garamond" w:hAnsi="Garamond"/>
          <w:sz w:val="24"/>
          <w:szCs w:val="24"/>
        </w:rPr>
        <w:t xml:space="preserve">, </w:t>
      </w:r>
      <w:proofErr w:type="spellStart"/>
      <w:r w:rsidRPr="00405153">
        <w:rPr>
          <w:rFonts w:ascii="Garamond" w:hAnsi="Garamond"/>
          <w:i/>
          <w:sz w:val="24"/>
          <w:szCs w:val="24"/>
        </w:rPr>
        <w:t>Vavricka</w:t>
      </w:r>
      <w:proofErr w:type="spellEnd"/>
      <w:r w:rsidRPr="00405153">
        <w:rPr>
          <w:rFonts w:ascii="Garamond" w:hAnsi="Garamond"/>
          <w:i/>
          <w:sz w:val="24"/>
          <w:szCs w:val="24"/>
        </w:rPr>
        <w:t xml:space="preserve"> and Others vs. The </w:t>
      </w:r>
      <w:proofErr w:type="spellStart"/>
      <w:r w:rsidRPr="00405153">
        <w:rPr>
          <w:rFonts w:ascii="Garamond" w:hAnsi="Garamond"/>
          <w:i/>
          <w:sz w:val="24"/>
          <w:szCs w:val="24"/>
        </w:rPr>
        <w:t>Czech</w:t>
      </w:r>
      <w:proofErr w:type="spellEnd"/>
      <w:r w:rsidRPr="00405153">
        <w:rPr>
          <w:rFonts w:ascii="Garamond" w:hAnsi="Garamond"/>
          <w:i/>
          <w:sz w:val="24"/>
          <w:szCs w:val="24"/>
        </w:rPr>
        <w:t xml:space="preserve"> Republic</w:t>
      </w:r>
      <w:r w:rsidRPr="00405153">
        <w:rPr>
          <w:rFonts w:ascii="Garamond" w:hAnsi="Garamond"/>
          <w:sz w:val="24"/>
          <w:szCs w:val="24"/>
        </w:rPr>
        <w:t xml:space="preserve"> e </w:t>
      </w:r>
      <w:proofErr w:type="spellStart"/>
      <w:r w:rsidRPr="00405153">
        <w:rPr>
          <w:rFonts w:ascii="Garamond" w:hAnsi="Garamond"/>
          <w:i/>
          <w:sz w:val="24"/>
          <w:szCs w:val="24"/>
        </w:rPr>
        <w:t>Abgrall</w:t>
      </w:r>
      <w:proofErr w:type="spellEnd"/>
      <w:r w:rsidRPr="00405153">
        <w:rPr>
          <w:rFonts w:ascii="Garamond" w:hAnsi="Garamond"/>
          <w:i/>
          <w:sz w:val="24"/>
          <w:szCs w:val="24"/>
        </w:rPr>
        <w:t xml:space="preserve"> and others vs. France</w:t>
      </w:r>
      <w:r w:rsidRPr="00405153">
        <w:rPr>
          <w:rFonts w:ascii="Garamond" w:hAnsi="Garamond"/>
          <w:sz w:val="24"/>
          <w:szCs w:val="24"/>
        </w:rPr>
        <w:t xml:space="preserve"> </w:t>
      </w:r>
      <w:r w:rsidRPr="0030699B">
        <w:rPr>
          <w:rFonts w:ascii="Garamond" w:hAnsi="Garamond"/>
          <w:sz w:val="24"/>
          <w:szCs w:val="24"/>
        </w:rPr>
        <w:t xml:space="preserve">(e di Lussemburgo), </w:t>
      </w:r>
      <w:r w:rsidRPr="00405153">
        <w:rPr>
          <w:rFonts w:ascii="Garamond" w:hAnsi="Garamond"/>
          <w:sz w:val="24"/>
          <w:szCs w:val="24"/>
        </w:rPr>
        <w:t>in tema di vaccinazione obbligatoria, sembra spianare la strada verso una dimensione collettiva del diritto alla salute ed identificherebbe negli Stati membri della CEDU (</w:t>
      </w:r>
      <w:r w:rsidRPr="00405153">
        <w:rPr>
          <w:rFonts w:ascii="Garamond" w:hAnsi="Garamond"/>
          <w:i/>
          <w:sz w:val="24"/>
          <w:szCs w:val="24"/>
        </w:rPr>
        <w:t>ex</w:t>
      </w:r>
      <w:r w:rsidRPr="00405153">
        <w:rPr>
          <w:rFonts w:ascii="Garamond" w:hAnsi="Garamond"/>
          <w:sz w:val="24"/>
          <w:szCs w:val="24"/>
        </w:rPr>
        <w:t xml:space="preserve"> art. 2 della Convenzione) i primi attori responsabili nell’apprestare adeguate misure in risposta alle crisi sanitarie, e che, in ragione del margine di apprezzamento loro riconosciuto e della maggiore prossimità alla popolazione di riferimento possono più agevolmente trovare un ragionevole punto di equilibrio tra tutela della salute collettiva e interessi individuali, soprattutto in costanza di un’emergenza sanitaria di dimensioni globali che richiede, per sua natura, costanti sforzi di cooperazione tra le autorità interne ed internazionali nell’approntare risposte rapide ed efficaci agli eventi di salute pubblica. </w:t>
      </w:r>
    </w:p>
    <w:p w14:paraId="63EAE7DB" w14:textId="338031BD" w:rsidR="00965AFC" w:rsidRPr="00A57F10" w:rsidRDefault="00965AFC" w:rsidP="0061721E">
      <w:pPr>
        <w:pStyle w:val="li"/>
        <w:spacing w:before="0" w:beforeAutospacing="0" w:after="0" w:afterAutospacing="0"/>
        <w:ind w:firstLine="567"/>
        <w:jc w:val="both"/>
        <w:rPr>
          <w:rFonts w:ascii="Garamond" w:hAnsi="Garamond"/>
        </w:rPr>
      </w:pPr>
    </w:p>
    <w:sectPr w:rsidR="00965AFC" w:rsidRPr="00A57F10" w:rsidSect="00A74B59">
      <w:headerReference w:type="even" r:id="rId9"/>
      <w:headerReference w:type="default" r:id="rId10"/>
      <w:footerReference w:type="even" r:id="rId11"/>
      <w:footerReference w:type="default" r:id="rId12"/>
      <w:headerReference w:type="first" r:id="rId13"/>
      <w:footerReference w:type="first" r:id="rId14"/>
      <w:type w:val="continuous"/>
      <w:pgSz w:w="11906" w:h="16838"/>
      <w:pgMar w:top="1701" w:right="1701" w:bottom="2268" w:left="1701" w:header="709" w:footer="709" w:gutter="0"/>
      <w:pgNumType w:start="1305"/>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551AA" w14:textId="77777777" w:rsidR="00F24B8E" w:rsidRDefault="00F24B8E" w:rsidP="00FD1C53">
      <w:pPr>
        <w:spacing w:after="0" w:line="240" w:lineRule="auto"/>
      </w:pPr>
      <w:r>
        <w:separator/>
      </w:r>
    </w:p>
  </w:endnote>
  <w:endnote w:type="continuationSeparator" w:id="0">
    <w:p w14:paraId="5ABE6B6D" w14:textId="77777777" w:rsidR="00F24B8E" w:rsidRDefault="00F24B8E" w:rsidP="00FD1C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2" w:usb2="00000000" w:usb3="00000000" w:csb0="0000009F" w:csb1="00000000"/>
  </w:font>
  <w:font w:name="Times New Roman (Corpo CS)">
    <w:panose1 w:val="020B0604020202020204"/>
    <w:charset w:val="00"/>
    <w:family w:val="roman"/>
    <w:notTrueType/>
    <w:pitch w:val="default"/>
  </w:font>
  <w:font w:name="Garamond-Bold">
    <w:altName w:val="Garamond"/>
    <w:panose1 w:val="020B0604020202020204"/>
    <w:charset w:val="00"/>
    <w:family w:val="swiss"/>
    <w:notTrueType/>
    <w:pitch w:val="default"/>
    <w:sig w:usb0="00000003" w:usb1="00000000" w:usb2="00000000" w:usb3="00000000" w:csb0="00000001" w:csb1="00000000"/>
  </w:font>
  <w:font w:name="Garamond-Italic">
    <w:altName w:val="Garamond"/>
    <w:panose1 w:val="020B0604020202020204"/>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A22A3" w14:textId="77777777" w:rsidR="006B1761" w:rsidRPr="00E36B65" w:rsidRDefault="006B1761" w:rsidP="00592C5A">
    <w:pPr>
      <w:autoSpaceDE w:val="0"/>
      <w:autoSpaceDN w:val="0"/>
      <w:adjustRightInd w:val="0"/>
      <w:spacing w:after="0" w:line="240" w:lineRule="auto"/>
      <w:rPr>
        <w:rFonts w:ascii="Garamond" w:hAnsi="Garamond" w:cs="Garamond-Bold"/>
        <w:color w:val="000000"/>
        <w:sz w:val="24"/>
        <w:szCs w:val="24"/>
      </w:rPr>
    </w:pPr>
  </w:p>
  <w:p w14:paraId="761F93CA" w14:textId="78FA2029" w:rsidR="006B1761" w:rsidRPr="00816CC7" w:rsidRDefault="006B1761" w:rsidP="00592C5A">
    <w:pPr>
      <w:autoSpaceDE w:val="0"/>
      <w:autoSpaceDN w:val="0"/>
      <w:adjustRightInd w:val="0"/>
      <w:spacing w:after="0" w:line="240" w:lineRule="auto"/>
      <w:rPr>
        <w:rFonts w:ascii="Garamond" w:hAnsi="Garamond" w:cs="Garamond-Italic"/>
        <w:i/>
        <w:iCs/>
        <w:color w:val="EE7D31"/>
        <w:sz w:val="24"/>
        <w:szCs w:val="24"/>
      </w:rPr>
    </w:pPr>
    <w:r w:rsidRPr="00816CC7">
      <w:rPr>
        <w:rFonts w:ascii="Garamond" w:hAnsi="Garamond" w:cs="Garamond-Italic"/>
        <w:i/>
        <w:iCs/>
        <w:color w:val="000000"/>
        <w:sz w:val="24"/>
        <w:szCs w:val="24"/>
      </w:rPr>
      <w:t xml:space="preserve">ISSN 2284-3531 </w:t>
    </w:r>
    <w:r w:rsidRPr="00944C87">
      <w:rPr>
        <w:rFonts w:ascii="Garamond" w:hAnsi="Garamond" w:cs="Garamond-Italic"/>
        <w:b/>
        <w:bCs/>
        <w:i/>
        <w:iCs/>
        <w:color w:val="EE7D31"/>
        <w:sz w:val="24"/>
        <w:szCs w:val="24"/>
      </w:rPr>
      <w:t>Ordine internazionale e diritti umani</w:t>
    </w:r>
    <w:r w:rsidRPr="00816CC7">
      <w:rPr>
        <w:rFonts w:ascii="Garamond" w:hAnsi="Garamond" w:cs="Garamond-Italic"/>
        <w:i/>
        <w:iCs/>
        <w:color w:val="000000"/>
        <w:sz w:val="24"/>
        <w:szCs w:val="24"/>
      </w:rPr>
      <w:t>, (</w:t>
    </w:r>
    <w:r>
      <w:rPr>
        <w:rFonts w:ascii="Garamond" w:hAnsi="Garamond" w:cs="Garamond-Italic"/>
        <w:i/>
        <w:iCs/>
        <w:color w:val="000000"/>
        <w:sz w:val="24"/>
        <w:szCs w:val="24"/>
      </w:rPr>
      <w:t>2022</w:t>
    </w:r>
    <w:r w:rsidRPr="00816CC7">
      <w:rPr>
        <w:rFonts w:ascii="Garamond" w:hAnsi="Garamond" w:cs="Garamond-Italic"/>
        <w:i/>
        <w:iCs/>
        <w:color w:val="000000"/>
        <w:sz w:val="24"/>
        <w:szCs w:val="24"/>
      </w:rPr>
      <w:t>), pp.</w:t>
    </w:r>
    <w:r>
      <w:rPr>
        <w:rFonts w:ascii="Garamond" w:hAnsi="Garamond" w:cs="Garamond-Italic"/>
        <w:i/>
        <w:iCs/>
        <w:color w:val="000000"/>
        <w:sz w:val="24"/>
        <w:szCs w:val="24"/>
      </w:rPr>
      <w:t xml:space="preserve"> </w:t>
    </w:r>
    <w:r w:rsidR="000D593D">
      <w:rPr>
        <w:rFonts w:ascii="Garamond" w:hAnsi="Garamond" w:cs="Garamond-Italic"/>
        <w:i/>
        <w:iCs/>
        <w:color w:val="000000"/>
        <w:sz w:val="24"/>
        <w:szCs w:val="24"/>
      </w:rPr>
      <w:t>1</w:t>
    </w:r>
    <w:r w:rsidR="00A74B59">
      <w:rPr>
        <w:rFonts w:ascii="Garamond" w:hAnsi="Garamond" w:cs="Garamond-Italic"/>
        <w:i/>
        <w:iCs/>
        <w:color w:val="000000"/>
        <w:sz w:val="24"/>
        <w:szCs w:val="24"/>
      </w:rPr>
      <w:t>3</w:t>
    </w:r>
    <w:r w:rsidR="000D593D">
      <w:rPr>
        <w:rFonts w:ascii="Garamond" w:hAnsi="Garamond" w:cs="Garamond-Italic"/>
        <w:i/>
        <w:iCs/>
        <w:color w:val="000000"/>
        <w:sz w:val="24"/>
        <w:szCs w:val="24"/>
      </w:rPr>
      <w:t>05-1</w:t>
    </w:r>
    <w:r w:rsidR="00A74B59">
      <w:rPr>
        <w:rFonts w:ascii="Garamond" w:hAnsi="Garamond" w:cs="Garamond-Italic"/>
        <w:i/>
        <w:iCs/>
        <w:color w:val="000000"/>
        <w:sz w:val="24"/>
        <w:szCs w:val="24"/>
      </w:rPr>
      <w:t>3</w:t>
    </w:r>
    <w:r w:rsidR="000D593D">
      <w:rPr>
        <w:rFonts w:ascii="Garamond" w:hAnsi="Garamond" w:cs="Garamond-Italic"/>
        <w:i/>
        <w:iCs/>
        <w:color w:val="000000"/>
        <w:sz w:val="24"/>
        <w:szCs w:val="24"/>
      </w:rPr>
      <w:t>28.</w:t>
    </w:r>
  </w:p>
  <w:p w14:paraId="34759EA6" w14:textId="77777777" w:rsidR="006B1761" w:rsidRDefault="006B176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7BCDA" w14:textId="77777777" w:rsidR="006B1761" w:rsidRPr="00E36B65" w:rsidRDefault="006B1761" w:rsidP="00592C5A">
    <w:pPr>
      <w:autoSpaceDE w:val="0"/>
      <w:autoSpaceDN w:val="0"/>
      <w:adjustRightInd w:val="0"/>
      <w:spacing w:after="0" w:line="240" w:lineRule="auto"/>
      <w:rPr>
        <w:rFonts w:ascii="Garamond" w:hAnsi="Garamond" w:cs="Garamond-Bold"/>
        <w:color w:val="000000"/>
        <w:sz w:val="24"/>
        <w:szCs w:val="24"/>
      </w:rPr>
    </w:pPr>
  </w:p>
  <w:p w14:paraId="1BC4EEB5" w14:textId="12FE5187" w:rsidR="006B1761" w:rsidRPr="00816CC7" w:rsidRDefault="006B1761" w:rsidP="00592C5A">
    <w:pPr>
      <w:autoSpaceDE w:val="0"/>
      <w:autoSpaceDN w:val="0"/>
      <w:adjustRightInd w:val="0"/>
      <w:spacing w:after="0" w:line="240" w:lineRule="auto"/>
      <w:rPr>
        <w:rFonts w:ascii="Garamond" w:hAnsi="Garamond" w:cs="Garamond-Italic"/>
        <w:i/>
        <w:iCs/>
        <w:color w:val="EE7D31"/>
        <w:sz w:val="24"/>
        <w:szCs w:val="24"/>
      </w:rPr>
    </w:pPr>
    <w:r w:rsidRPr="00816CC7">
      <w:rPr>
        <w:rFonts w:ascii="Garamond" w:hAnsi="Garamond" w:cs="Garamond-Italic"/>
        <w:i/>
        <w:iCs/>
        <w:color w:val="000000"/>
        <w:sz w:val="24"/>
        <w:szCs w:val="24"/>
      </w:rPr>
      <w:t xml:space="preserve">ISSN 2284-3531 </w:t>
    </w:r>
    <w:r w:rsidRPr="00944C87">
      <w:rPr>
        <w:rFonts w:ascii="Garamond" w:hAnsi="Garamond" w:cs="Garamond-Italic"/>
        <w:b/>
        <w:bCs/>
        <w:i/>
        <w:iCs/>
        <w:color w:val="EE7D31"/>
        <w:sz w:val="24"/>
        <w:szCs w:val="24"/>
      </w:rPr>
      <w:t>Ordine internazionale e diritti umani</w:t>
    </w:r>
    <w:r w:rsidRPr="00816CC7">
      <w:rPr>
        <w:rFonts w:ascii="Garamond" w:hAnsi="Garamond" w:cs="Garamond-Italic"/>
        <w:i/>
        <w:iCs/>
        <w:color w:val="000000"/>
        <w:sz w:val="24"/>
        <w:szCs w:val="24"/>
      </w:rPr>
      <w:t>, (</w:t>
    </w:r>
    <w:r>
      <w:rPr>
        <w:rFonts w:ascii="Garamond" w:hAnsi="Garamond" w:cs="Garamond-Italic"/>
        <w:i/>
        <w:iCs/>
        <w:color w:val="000000"/>
        <w:sz w:val="24"/>
        <w:szCs w:val="24"/>
      </w:rPr>
      <w:t xml:space="preserve">2022), pp. </w:t>
    </w:r>
    <w:r w:rsidR="000D593D">
      <w:rPr>
        <w:rFonts w:ascii="Garamond" w:hAnsi="Garamond" w:cs="Garamond-Italic"/>
        <w:i/>
        <w:iCs/>
        <w:color w:val="000000"/>
        <w:sz w:val="24"/>
        <w:szCs w:val="24"/>
      </w:rPr>
      <w:t>1</w:t>
    </w:r>
    <w:r w:rsidR="00A74B59">
      <w:rPr>
        <w:rFonts w:ascii="Garamond" w:hAnsi="Garamond" w:cs="Garamond-Italic"/>
        <w:i/>
        <w:iCs/>
        <w:color w:val="000000"/>
        <w:sz w:val="24"/>
        <w:szCs w:val="24"/>
      </w:rPr>
      <w:t>3</w:t>
    </w:r>
    <w:r w:rsidR="000D593D">
      <w:rPr>
        <w:rFonts w:ascii="Garamond" w:hAnsi="Garamond" w:cs="Garamond-Italic"/>
        <w:i/>
        <w:iCs/>
        <w:color w:val="000000"/>
        <w:sz w:val="24"/>
        <w:szCs w:val="24"/>
      </w:rPr>
      <w:t>05-1</w:t>
    </w:r>
    <w:r w:rsidR="00A74B59">
      <w:rPr>
        <w:rFonts w:ascii="Garamond" w:hAnsi="Garamond" w:cs="Garamond-Italic"/>
        <w:i/>
        <w:iCs/>
        <w:color w:val="000000"/>
        <w:sz w:val="24"/>
        <w:szCs w:val="24"/>
      </w:rPr>
      <w:t>3</w:t>
    </w:r>
    <w:r w:rsidR="000D593D">
      <w:rPr>
        <w:rFonts w:ascii="Garamond" w:hAnsi="Garamond" w:cs="Garamond-Italic"/>
        <w:i/>
        <w:iCs/>
        <w:color w:val="000000"/>
        <w:sz w:val="24"/>
        <w:szCs w:val="24"/>
      </w:rPr>
      <w:t>28.</w:t>
    </w:r>
  </w:p>
  <w:p w14:paraId="6D0664CD" w14:textId="77777777" w:rsidR="006B1761" w:rsidRPr="00592C5A" w:rsidRDefault="006B1761" w:rsidP="00592C5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F4070" w14:textId="77777777" w:rsidR="006B1761" w:rsidRPr="00E36B65" w:rsidRDefault="006B1761" w:rsidP="00592C5A">
    <w:pPr>
      <w:autoSpaceDE w:val="0"/>
      <w:autoSpaceDN w:val="0"/>
      <w:adjustRightInd w:val="0"/>
      <w:spacing w:after="0" w:line="240" w:lineRule="auto"/>
      <w:rPr>
        <w:rFonts w:ascii="Garamond" w:hAnsi="Garamond" w:cs="Garamond-Bold"/>
        <w:color w:val="000000"/>
        <w:sz w:val="24"/>
        <w:szCs w:val="24"/>
      </w:rPr>
    </w:pPr>
  </w:p>
  <w:p w14:paraId="44A7E29A" w14:textId="2A125F73" w:rsidR="006B1761" w:rsidRPr="00816CC7" w:rsidRDefault="006B1761" w:rsidP="00592C5A">
    <w:pPr>
      <w:autoSpaceDE w:val="0"/>
      <w:autoSpaceDN w:val="0"/>
      <w:adjustRightInd w:val="0"/>
      <w:spacing w:after="0" w:line="240" w:lineRule="auto"/>
      <w:rPr>
        <w:rFonts w:ascii="Garamond" w:hAnsi="Garamond" w:cs="Garamond-Italic"/>
        <w:i/>
        <w:iCs/>
        <w:color w:val="EE7D31"/>
        <w:sz w:val="24"/>
        <w:szCs w:val="24"/>
      </w:rPr>
    </w:pPr>
    <w:r w:rsidRPr="00816CC7">
      <w:rPr>
        <w:rFonts w:ascii="Garamond" w:hAnsi="Garamond" w:cs="Garamond-Italic"/>
        <w:i/>
        <w:iCs/>
        <w:color w:val="000000"/>
        <w:sz w:val="24"/>
        <w:szCs w:val="24"/>
      </w:rPr>
      <w:t xml:space="preserve">ISSN 2284-3531 </w:t>
    </w:r>
    <w:r w:rsidRPr="00944C87">
      <w:rPr>
        <w:rFonts w:ascii="Garamond" w:hAnsi="Garamond" w:cs="Garamond-Italic"/>
        <w:b/>
        <w:bCs/>
        <w:i/>
        <w:iCs/>
        <w:color w:val="EE7D31"/>
        <w:sz w:val="24"/>
        <w:szCs w:val="24"/>
      </w:rPr>
      <w:t>Ordine internazionale e diritti umani</w:t>
    </w:r>
    <w:r w:rsidRPr="00816CC7">
      <w:rPr>
        <w:rFonts w:ascii="Garamond" w:hAnsi="Garamond" w:cs="Garamond-Italic"/>
        <w:i/>
        <w:iCs/>
        <w:color w:val="000000"/>
        <w:sz w:val="24"/>
        <w:szCs w:val="24"/>
      </w:rPr>
      <w:t>, (</w:t>
    </w:r>
    <w:r>
      <w:rPr>
        <w:rFonts w:ascii="Garamond" w:hAnsi="Garamond" w:cs="Garamond-Italic"/>
        <w:i/>
        <w:iCs/>
        <w:color w:val="000000"/>
        <w:sz w:val="24"/>
        <w:szCs w:val="24"/>
      </w:rPr>
      <w:t>2022</w:t>
    </w:r>
    <w:r w:rsidRPr="00816CC7">
      <w:rPr>
        <w:rFonts w:ascii="Garamond" w:hAnsi="Garamond" w:cs="Garamond-Italic"/>
        <w:i/>
        <w:iCs/>
        <w:color w:val="000000"/>
        <w:sz w:val="24"/>
        <w:szCs w:val="24"/>
      </w:rPr>
      <w:t>), pp</w:t>
    </w:r>
    <w:r w:rsidR="00094DE7">
      <w:rPr>
        <w:rFonts w:ascii="Garamond" w:hAnsi="Garamond" w:cs="Garamond-Italic"/>
        <w:i/>
        <w:iCs/>
        <w:color w:val="000000"/>
        <w:sz w:val="24"/>
        <w:szCs w:val="24"/>
      </w:rPr>
      <w:t xml:space="preserve">. </w:t>
    </w:r>
    <w:r w:rsidR="000D593D">
      <w:rPr>
        <w:rFonts w:ascii="Garamond" w:hAnsi="Garamond" w:cs="Garamond-Italic"/>
        <w:i/>
        <w:iCs/>
        <w:color w:val="000000"/>
        <w:sz w:val="24"/>
        <w:szCs w:val="24"/>
      </w:rPr>
      <w:t>1</w:t>
    </w:r>
    <w:r w:rsidR="00A74B59">
      <w:rPr>
        <w:rFonts w:ascii="Garamond" w:hAnsi="Garamond" w:cs="Garamond-Italic"/>
        <w:i/>
        <w:iCs/>
        <w:color w:val="000000"/>
        <w:sz w:val="24"/>
        <w:szCs w:val="24"/>
      </w:rPr>
      <w:t>3</w:t>
    </w:r>
    <w:r w:rsidR="000D593D">
      <w:rPr>
        <w:rFonts w:ascii="Garamond" w:hAnsi="Garamond" w:cs="Garamond-Italic"/>
        <w:i/>
        <w:iCs/>
        <w:color w:val="000000"/>
        <w:sz w:val="24"/>
        <w:szCs w:val="24"/>
      </w:rPr>
      <w:t>05-1</w:t>
    </w:r>
    <w:r w:rsidR="00A74B59">
      <w:rPr>
        <w:rFonts w:ascii="Garamond" w:hAnsi="Garamond" w:cs="Garamond-Italic"/>
        <w:i/>
        <w:iCs/>
        <w:color w:val="000000"/>
        <w:sz w:val="24"/>
        <w:szCs w:val="24"/>
      </w:rPr>
      <w:t>3</w:t>
    </w:r>
    <w:r w:rsidR="000D593D">
      <w:rPr>
        <w:rFonts w:ascii="Garamond" w:hAnsi="Garamond" w:cs="Garamond-Italic"/>
        <w:i/>
        <w:iCs/>
        <w:color w:val="000000"/>
        <w:sz w:val="24"/>
        <w:szCs w:val="24"/>
      </w:rPr>
      <w:t>28.</w:t>
    </w:r>
  </w:p>
  <w:p w14:paraId="77AD0695" w14:textId="77777777" w:rsidR="006B1761" w:rsidRPr="00592C5A" w:rsidRDefault="006B1761" w:rsidP="00592C5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86BDE" w14:textId="77777777" w:rsidR="00F24B8E" w:rsidRDefault="00F24B8E" w:rsidP="00FD1C53">
      <w:pPr>
        <w:spacing w:after="0" w:line="240" w:lineRule="auto"/>
      </w:pPr>
      <w:r>
        <w:separator/>
      </w:r>
    </w:p>
  </w:footnote>
  <w:footnote w:type="continuationSeparator" w:id="0">
    <w:p w14:paraId="760B7817" w14:textId="77777777" w:rsidR="00F24B8E" w:rsidRDefault="00F24B8E" w:rsidP="00FD1C53">
      <w:pPr>
        <w:spacing w:after="0" w:line="240" w:lineRule="auto"/>
      </w:pPr>
      <w:r>
        <w:continuationSeparator/>
      </w:r>
    </w:p>
  </w:footnote>
  <w:footnote w:id="1">
    <w:p w14:paraId="7C8F2705" w14:textId="46C47B5F"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t>*</w:t>
      </w:r>
      <w:r w:rsidRPr="00B935F1">
        <w:rPr>
          <w:rFonts w:ascii="Garamond" w:hAnsi="Garamond"/>
          <w:color w:val="000000" w:themeColor="text1"/>
        </w:rPr>
        <w:t xml:space="preserve"> Dottorando in </w:t>
      </w:r>
      <w:r w:rsidR="00324958">
        <w:rPr>
          <w:rFonts w:ascii="Garamond" w:hAnsi="Garamond"/>
          <w:color w:val="000000" w:themeColor="text1"/>
        </w:rPr>
        <w:t>O</w:t>
      </w:r>
      <w:r w:rsidRPr="00B935F1">
        <w:rPr>
          <w:rFonts w:ascii="Garamond" w:hAnsi="Garamond"/>
          <w:color w:val="000000" w:themeColor="text1"/>
        </w:rPr>
        <w:t xml:space="preserve">rdine internazionale e diritti umani presso il Dipartimento di Scienze Politiche, Università di Roma La Sapienza. </w:t>
      </w:r>
    </w:p>
  </w:footnote>
  <w:footnote w:id="2">
    <w:p w14:paraId="756C7280" w14:textId="6E5A4A78"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bookmarkStart w:id="1" w:name="_Hlk121325477"/>
      <w:r w:rsidRPr="00B935F1">
        <w:rPr>
          <w:rFonts w:ascii="Garamond" w:hAnsi="Garamond"/>
          <w:color w:val="000000" w:themeColor="text1"/>
        </w:rPr>
        <w:t>Proposta del Parlamento europeo e del Consiglio che modifica il regolamento (UE) n. 2021/953</w:t>
      </w:r>
      <w:bookmarkEnd w:id="1"/>
      <w:r w:rsidRPr="00B935F1">
        <w:rPr>
          <w:rFonts w:ascii="Garamond" w:hAnsi="Garamond"/>
          <w:color w:val="000000" w:themeColor="text1"/>
        </w:rPr>
        <w:t xml:space="preserve"> su un quadro per il rilascio, la verifica e l'accettazione di certificati interoperabili di vaccinazione, di test e di guarigione in relazione alla COVID-19 (certificato COVID digitale dell'UE) per agevolare la libera circolazione delle persone durante la pandemia di COVID-19.</w:t>
      </w:r>
    </w:p>
  </w:footnote>
  <w:footnote w:id="3">
    <w:p w14:paraId="5C7189DD" w14:textId="080DD30F"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Ai sensi del Regolamento (UE) 2021/954 del Parlamento europeo e del Consiglio del 14 giugno 2021, su un quadro per il rilascio, la verifica e l'accettazione di certificati interoperabili di vaccinazione, di test e di guarigione in relazione alla COVID-19 (certificato COVID digitale dell'UE) per i cittadini di paesi terzi regolarmente soggiornanti o residenti nel territorio degli Stati membri durante la pandemia di COVID-19 (</w:t>
      </w:r>
      <w:r w:rsidRPr="00156101">
        <w:rPr>
          <w:rFonts w:ascii="Garamond" w:hAnsi="Garamond"/>
          <w:i/>
          <w:color w:val="000000" w:themeColor="text1"/>
        </w:rPr>
        <w:t>GU</w:t>
      </w:r>
      <w:r w:rsidR="002D4C9B" w:rsidRPr="00156101">
        <w:rPr>
          <w:rFonts w:ascii="Garamond" w:hAnsi="Garamond"/>
          <w:i/>
          <w:color w:val="000000" w:themeColor="text1"/>
        </w:rPr>
        <w:t>UE</w:t>
      </w:r>
      <w:r w:rsidRPr="00B935F1">
        <w:rPr>
          <w:rFonts w:ascii="Garamond" w:hAnsi="Garamond"/>
          <w:color w:val="000000" w:themeColor="text1"/>
        </w:rPr>
        <w:t xml:space="preserve"> 211 del 15.06.2021, p.</w:t>
      </w:r>
      <w:r w:rsidR="00081BFD" w:rsidRPr="00B935F1">
        <w:rPr>
          <w:rFonts w:ascii="Garamond" w:hAnsi="Garamond"/>
          <w:color w:val="000000" w:themeColor="text1"/>
        </w:rPr>
        <w:t xml:space="preserve"> </w:t>
      </w:r>
      <w:r w:rsidRPr="00B935F1">
        <w:rPr>
          <w:rFonts w:ascii="Garamond" w:hAnsi="Garamond"/>
          <w:color w:val="000000" w:themeColor="text1"/>
        </w:rPr>
        <w:t>1).</w:t>
      </w:r>
    </w:p>
  </w:footnote>
  <w:footnote w:id="4">
    <w:p w14:paraId="0AC2DCBF" w14:textId="645C3325"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Da osservare preliminarmente, che il diritto dei cittadini europei di circolare e soggiornare liberamente all’interno del territorio degli Stati membri può essere talvolta limitato per ragioni di ordine pubblico, sicurezza o salute pubblica ai sensi della Direttiva 2004/38/CE del Parlamento europeo e del Consiglio, relativa al diritto dei cittadini dell'Unione e dei loro familiari di circolare e di soggiornare liberamente nel territorio degli Stati membri, che modifica il regolamento (CEE) 1612/68 ed «</w:t>
      </w:r>
      <w:r w:rsidRPr="00B935F1">
        <w:rPr>
          <w:rFonts w:ascii="Garamond" w:hAnsi="Garamond"/>
          <w:i/>
          <w:color w:val="000000" w:themeColor="text1"/>
        </w:rPr>
        <w:t>abroga le direttive n. 64/221/CEE, n. 68/360/CEE, 72/194/CEE, 73/148/CEE, 75/34/CEE, 75/35/CEE, 90/364/CEE, 90/365/CEE e 93/96/CEE</w:t>
      </w:r>
      <w:r w:rsidRPr="00B935F1">
        <w:rPr>
          <w:rFonts w:ascii="Garamond" w:hAnsi="Garamond"/>
          <w:color w:val="000000" w:themeColor="text1"/>
        </w:rPr>
        <w:t xml:space="preserve">» (GU L 158 del 30.4.2004, p. 77). </w:t>
      </w:r>
    </w:p>
  </w:footnote>
  <w:footnote w:id="5">
    <w:p w14:paraId="709B4FB8" w14:textId="7C8B2DAA"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Un caso emblematico a livello universale è rappresentato dal Certificato internazionale di vaccinazione contro la febbre gialla, che alcuni Stati membri dell’Organizzazione mondiale della sanità, in ragione del verificarsi di casi della malattia a livello interno, possono richiedere ai viaggiatori come requisito obbligatorio per l’ingresso nel proprio territorio, conformemente alla disciplina dettata dall’allegato n. 7 al Regolamento sanitario internazionale e purché tale certificato sia omologato dall’OMS. Analogamente, altri Stati membri possono richiedere la certificazione all’ingresso a passeggeri provenienti dalle aree in cui «</w:t>
      </w:r>
      <w:r w:rsidRPr="00156101">
        <w:rPr>
          <w:rFonts w:ascii="Garamond" w:hAnsi="Garamond"/>
          <w:color w:val="000000" w:themeColor="text1"/>
        </w:rPr>
        <w:t xml:space="preserve">the Organization </w:t>
      </w:r>
      <w:proofErr w:type="spellStart"/>
      <w:r w:rsidRPr="00156101">
        <w:rPr>
          <w:rFonts w:ascii="Garamond" w:hAnsi="Garamond"/>
          <w:color w:val="000000" w:themeColor="text1"/>
        </w:rPr>
        <w:t>has</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determined</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that</w:t>
      </w:r>
      <w:proofErr w:type="spellEnd"/>
      <w:r w:rsidRPr="00156101">
        <w:rPr>
          <w:rFonts w:ascii="Garamond" w:hAnsi="Garamond"/>
          <w:color w:val="000000" w:themeColor="text1"/>
        </w:rPr>
        <w:t xml:space="preserve"> a risk of </w:t>
      </w:r>
      <w:proofErr w:type="spellStart"/>
      <w:r w:rsidRPr="00156101">
        <w:rPr>
          <w:rFonts w:ascii="Garamond" w:hAnsi="Garamond"/>
          <w:color w:val="000000" w:themeColor="text1"/>
        </w:rPr>
        <w:t>yellow</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fever</w:t>
      </w:r>
      <w:proofErr w:type="spellEnd"/>
      <w:r w:rsidRPr="00156101">
        <w:rPr>
          <w:rFonts w:ascii="Garamond" w:hAnsi="Garamond"/>
          <w:color w:val="000000" w:themeColor="text1"/>
        </w:rPr>
        <w:t xml:space="preserve"> transmission </w:t>
      </w:r>
      <w:proofErr w:type="spellStart"/>
      <w:r w:rsidRPr="00156101">
        <w:rPr>
          <w:rFonts w:ascii="Garamond" w:hAnsi="Garamond"/>
          <w:color w:val="000000" w:themeColor="text1"/>
        </w:rPr>
        <w:t>is</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present</w:t>
      </w:r>
      <w:proofErr w:type="spellEnd"/>
      <w:r w:rsidRPr="00B935F1">
        <w:rPr>
          <w:rFonts w:ascii="Garamond" w:hAnsi="Garamond"/>
          <w:color w:val="000000" w:themeColor="text1"/>
        </w:rPr>
        <w:t xml:space="preserve">». </w:t>
      </w:r>
      <w:proofErr w:type="spellStart"/>
      <w:r w:rsidRPr="00B935F1">
        <w:rPr>
          <w:rFonts w:ascii="Garamond" w:hAnsi="Garamond"/>
          <w:color w:val="000000" w:themeColor="text1"/>
        </w:rPr>
        <w:t>Annex</w:t>
      </w:r>
      <w:proofErr w:type="spellEnd"/>
      <w:r w:rsidRPr="00B935F1">
        <w:rPr>
          <w:rFonts w:ascii="Garamond" w:hAnsi="Garamond"/>
          <w:color w:val="000000" w:themeColor="text1"/>
        </w:rPr>
        <w:t xml:space="preserve"> 7 </w:t>
      </w:r>
      <w:proofErr w:type="spellStart"/>
      <w:r w:rsidRPr="00B935F1">
        <w:rPr>
          <w:rFonts w:ascii="Garamond" w:hAnsi="Garamond"/>
          <w:color w:val="000000" w:themeColor="text1"/>
        </w:rPr>
        <w:t>letter</w:t>
      </w:r>
      <w:proofErr w:type="spellEnd"/>
      <w:r w:rsidRPr="00B935F1">
        <w:rPr>
          <w:rFonts w:ascii="Garamond" w:hAnsi="Garamond"/>
          <w:color w:val="000000" w:themeColor="text1"/>
        </w:rPr>
        <w:t xml:space="preserve"> g) of the International Health </w:t>
      </w:r>
      <w:proofErr w:type="spellStart"/>
      <w:r w:rsidRPr="00B935F1">
        <w:rPr>
          <w:rFonts w:ascii="Garamond" w:hAnsi="Garamond"/>
          <w:color w:val="000000" w:themeColor="text1"/>
        </w:rPr>
        <w:t>Regulations</w:t>
      </w:r>
      <w:proofErr w:type="spellEnd"/>
      <w:r w:rsidRPr="00B935F1">
        <w:rPr>
          <w:rFonts w:ascii="Garamond" w:hAnsi="Garamond"/>
          <w:color w:val="000000" w:themeColor="text1"/>
        </w:rPr>
        <w:t>.</w:t>
      </w:r>
    </w:p>
  </w:footnote>
  <w:footnote w:id="6">
    <w:p w14:paraId="114E38DD" w14:textId="5442CBE3"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Regolamento (UE) n. 2021/953 del Parlamento europeo e del Consiglio su un quadro per il rilascio, la verifica e l'accettazione di certificati interoperabili di vaccinazione, di test e di guarigione in relazione alla COVID-19 (certificato COVID digitale dell'UE) per agevolare la libera circolazione delle persone durante la pandemia di COVID-19, (GU L 211 del 14.6.2021, p. 1</w:t>
      </w:r>
      <w:proofErr w:type="gramStart"/>
      <w:r w:rsidRPr="00B935F1">
        <w:rPr>
          <w:rFonts w:ascii="Garamond" w:hAnsi="Garamond"/>
          <w:color w:val="000000" w:themeColor="text1"/>
        </w:rPr>
        <w:t>) .</w:t>
      </w:r>
      <w:proofErr w:type="gramEnd"/>
    </w:p>
  </w:footnote>
  <w:footnote w:id="7">
    <w:p w14:paraId="00E822DF" w14:textId="0D7F9418"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Come, ad esempio, la Francia, tra i primi Paesi europei a “nazionalizzare” il </w:t>
      </w:r>
      <w:r w:rsidRPr="00B935F1">
        <w:rPr>
          <w:rFonts w:ascii="Garamond" w:hAnsi="Garamond"/>
          <w:i/>
          <w:color w:val="000000" w:themeColor="text1"/>
        </w:rPr>
        <w:t>green pass</w:t>
      </w:r>
      <w:r w:rsidRPr="00B935F1">
        <w:rPr>
          <w:rFonts w:ascii="Garamond" w:hAnsi="Garamond"/>
          <w:color w:val="000000" w:themeColor="text1"/>
        </w:rPr>
        <w:t xml:space="preserve">; analogamente all’Italia, che sin dalle prime fasi dell’emergenza, si è distinta per l’adozione di misure di contrasto al Covid-19 così incisive ed efficaci da meritare (insieme alla Cina) il plauso dell’Organizzazione mondiale della Sanità.                         </w:t>
      </w:r>
      <w:r w:rsidRPr="00B935F1">
        <w:rPr>
          <w:rFonts w:ascii="Garamond" w:hAnsi="Garamond"/>
          <w:i/>
          <w:color w:val="000000" w:themeColor="text1"/>
          <w:lang w:val="en-US"/>
        </w:rPr>
        <w:t>WHO Director-General's opening remarks at the media briefing on COVID-19 - 11 March 2020</w:t>
      </w:r>
      <w:r w:rsidRPr="00B935F1">
        <w:rPr>
          <w:rFonts w:ascii="Garamond" w:hAnsi="Garamond"/>
          <w:color w:val="000000" w:themeColor="text1"/>
          <w:lang w:val="en-US"/>
        </w:rPr>
        <w:t xml:space="preserve">, </w:t>
      </w:r>
      <w:hyperlink r:id="rId1" w:history="1">
        <w:r w:rsidRPr="00B935F1">
          <w:rPr>
            <w:rStyle w:val="Collegamentoipertestuale"/>
            <w:rFonts w:ascii="Garamond" w:hAnsi="Garamond"/>
            <w:color w:val="000000" w:themeColor="text1"/>
            <w:u w:val="none"/>
            <w:lang w:val="en-US"/>
          </w:rPr>
          <w:t>https://www.who.int/director-general/speeches/detail/who-director-general-s-opening-remarks-at-the-media-briefing-on-covid-19---11-march-2020</w:t>
        </w:r>
      </w:hyperlink>
      <w:r w:rsidRPr="00B935F1">
        <w:rPr>
          <w:rFonts w:ascii="Garamond" w:hAnsi="Garamond"/>
          <w:color w:val="000000" w:themeColor="text1"/>
          <w:lang w:val="en-US"/>
        </w:rPr>
        <w:t xml:space="preserve">.  </w:t>
      </w:r>
    </w:p>
  </w:footnote>
  <w:footnote w:id="8">
    <w:p w14:paraId="648E7B68" w14:textId="4A3D275D"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In conformità al decreto legge del 25 novembre n. 172/2021 (GU n. 282 del 26.11.2021), in base al quale a partire dal 6 dicembre 2021 solo le persone vaccinate o guarite avrebbero potuto ottenere la certificazione verde (c.d. </w:t>
      </w:r>
      <w:r w:rsidRPr="00B935F1">
        <w:rPr>
          <w:rFonts w:ascii="Garamond" w:hAnsi="Garamond"/>
          <w:i/>
          <w:color w:val="000000" w:themeColor="text1"/>
        </w:rPr>
        <w:t>green pass rafforzato</w:t>
      </w:r>
      <w:r w:rsidRPr="00B935F1">
        <w:rPr>
          <w:rFonts w:ascii="Garamond" w:hAnsi="Garamond"/>
          <w:color w:val="000000" w:themeColor="text1"/>
        </w:rPr>
        <w:t>).</w:t>
      </w:r>
    </w:p>
  </w:footnote>
  <w:footnote w:id="9">
    <w:p w14:paraId="4921400A" w14:textId="6D5AF7D5" w:rsidR="006B1761" w:rsidRPr="00B935F1" w:rsidRDefault="006B1761">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Secondo una ricerca di carattere statistico, si è stimato che l’approvazione del </w:t>
      </w:r>
      <w:r w:rsidRPr="00B935F1">
        <w:rPr>
          <w:rFonts w:ascii="Garamond" w:hAnsi="Garamond"/>
          <w:i/>
          <w:color w:val="000000" w:themeColor="text1"/>
        </w:rPr>
        <w:t>green pass</w:t>
      </w:r>
      <w:r w:rsidRPr="00B935F1">
        <w:rPr>
          <w:rFonts w:ascii="Garamond" w:hAnsi="Garamond"/>
          <w:color w:val="000000" w:themeColor="text1"/>
        </w:rPr>
        <w:t xml:space="preserve"> da parte del legislatore europeo abbia notevolmente incentivato la vaccinazione nella maggior parte dei Paesi membri dell’UE, in particolare in Francia, laddove si è registrato un notevole aumento, pari al 13% dei cittadini vaccinati, così come in Italia, paese interessato da un incremento del 9.7%, a seguito dell’emanazione della normativa sul </w:t>
      </w:r>
      <w:r w:rsidRPr="00B935F1">
        <w:rPr>
          <w:rFonts w:ascii="Garamond" w:hAnsi="Garamond"/>
          <w:i/>
          <w:color w:val="000000" w:themeColor="text1"/>
        </w:rPr>
        <w:t>green pass</w:t>
      </w:r>
      <w:r w:rsidRPr="00B935F1">
        <w:rPr>
          <w:rFonts w:ascii="Garamond" w:hAnsi="Garamond"/>
          <w:color w:val="000000" w:themeColor="text1"/>
        </w:rPr>
        <w:t xml:space="preserve">. </w:t>
      </w:r>
      <w:hyperlink r:id="rId2" w:history="1">
        <w:r w:rsidRPr="00156101">
          <w:rPr>
            <w:rStyle w:val="Collegamentoipertestuale"/>
            <w:rFonts w:ascii="Garamond" w:hAnsi="Garamond"/>
            <w:smallCaps/>
            <w:color w:val="000000" w:themeColor="text1"/>
            <w:u w:val="none"/>
            <w:lang w:val="en-US"/>
          </w:rPr>
          <w:t>P.Aghion</w:t>
        </w:r>
      </w:hyperlink>
      <w:r w:rsidRPr="00156101">
        <w:rPr>
          <w:rFonts w:ascii="Garamond" w:hAnsi="Garamond"/>
          <w:color w:val="000000" w:themeColor="text1"/>
          <w:lang w:val="en-US"/>
        </w:rPr>
        <w:t>, </w:t>
      </w:r>
      <w:hyperlink r:id="rId3" w:history="1">
        <w:r w:rsidRPr="00156101">
          <w:rPr>
            <w:rStyle w:val="Collegamentoipertestuale"/>
            <w:rFonts w:ascii="Garamond" w:hAnsi="Garamond"/>
            <w:smallCaps/>
            <w:color w:val="000000" w:themeColor="text1"/>
            <w:u w:val="none"/>
            <w:lang w:val="en-US"/>
          </w:rPr>
          <w:t>G.B.Wolff</w:t>
        </w:r>
      </w:hyperlink>
      <w:r w:rsidRPr="00156101">
        <w:rPr>
          <w:rFonts w:ascii="Garamond" w:hAnsi="Garamond"/>
          <w:smallCaps/>
          <w:color w:val="000000" w:themeColor="text1"/>
          <w:lang w:val="en-US"/>
        </w:rPr>
        <w:t>, </w:t>
      </w:r>
      <w:hyperlink r:id="rId4" w:history="1">
        <w:r w:rsidRPr="00156101">
          <w:rPr>
            <w:rStyle w:val="Collegamentoipertestuale"/>
            <w:rFonts w:ascii="Garamond" w:hAnsi="Garamond"/>
            <w:smallCaps/>
            <w:color w:val="000000" w:themeColor="text1"/>
            <w:u w:val="none"/>
            <w:lang w:val="en-US"/>
          </w:rPr>
          <w:t>P.Martin</w:t>
        </w:r>
      </w:hyperlink>
      <w:r w:rsidRPr="00156101">
        <w:rPr>
          <w:rFonts w:ascii="Garamond" w:hAnsi="Garamond"/>
          <w:smallCaps/>
          <w:color w:val="000000" w:themeColor="text1"/>
          <w:lang w:val="en-US"/>
        </w:rPr>
        <w:t>, </w:t>
      </w:r>
      <w:hyperlink r:id="rId5" w:history="1">
        <w:r w:rsidRPr="00156101">
          <w:rPr>
            <w:rStyle w:val="Collegamentoipertestuale"/>
            <w:rFonts w:ascii="Garamond" w:hAnsi="Garamond"/>
            <w:smallCaps/>
            <w:color w:val="000000" w:themeColor="text1"/>
            <w:u w:val="none"/>
            <w:lang w:val="en-US"/>
          </w:rPr>
          <w:t>L.Guetta-Jeanrenaud</w:t>
        </w:r>
      </w:hyperlink>
      <w:r w:rsidRPr="00156101">
        <w:rPr>
          <w:rFonts w:ascii="Garamond" w:hAnsi="Garamond"/>
          <w:smallCaps/>
          <w:color w:val="000000" w:themeColor="text1"/>
          <w:lang w:val="en-US"/>
        </w:rPr>
        <w:t>, </w:t>
      </w:r>
      <w:hyperlink r:id="rId6" w:history="1">
        <w:r w:rsidRPr="00156101">
          <w:rPr>
            <w:rStyle w:val="Collegamentoipertestuale"/>
            <w:rFonts w:ascii="Garamond" w:hAnsi="Garamond"/>
            <w:smallCaps/>
            <w:color w:val="000000" w:themeColor="text1"/>
            <w:u w:val="none"/>
            <w:lang w:val="en-US"/>
          </w:rPr>
          <w:t>B.Pradelski</w:t>
        </w:r>
      </w:hyperlink>
      <w:r w:rsidRPr="00156101">
        <w:rPr>
          <w:rFonts w:ascii="Garamond" w:hAnsi="Garamond"/>
          <w:smallCaps/>
          <w:color w:val="000000" w:themeColor="text1"/>
          <w:lang w:val="en-US"/>
        </w:rPr>
        <w:t>, </w:t>
      </w:r>
      <w:hyperlink r:id="rId7" w:history="1">
        <w:r w:rsidRPr="00156101">
          <w:rPr>
            <w:rStyle w:val="Collegamentoipertestuale"/>
            <w:rFonts w:ascii="Garamond" w:hAnsi="Garamond"/>
            <w:smallCaps/>
            <w:color w:val="000000" w:themeColor="text1"/>
            <w:u w:val="none"/>
            <w:lang w:val="en-US"/>
          </w:rPr>
          <w:t>M.Oliu-Barton</w:t>
        </w:r>
      </w:hyperlink>
      <w:r w:rsidRPr="00156101">
        <w:rPr>
          <w:rFonts w:ascii="Garamond" w:hAnsi="Garamond"/>
          <w:smallCaps/>
          <w:color w:val="000000" w:themeColor="text1"/>
          <w:lang w:val="en-US"/>
        </w:rPr>
        <w:t>, </w:t>
      </w:r>
      <w:hyperlink r:id="rId8" w:history="1">
        <w:r w:rsidRPr="00156101">
          <w:rPr>
            <w:rStyle w:val="Collegamentoipertestuale"/>
            <w:rFonts w:ascii="Garamond" w:hAnsi="Garamond"/>
            <w:smallCaps/>
            <w:color w:val="000000" w:themeColor="text1"/>
            <w:u w:val="none"/>
            <w:lang w:val="en-US"/>
          </w:rPr>
          <w:t>N.</w:t>
        </w:r>
        <w:r w:rsidR="002D4C9B" w:rsidRPr="00156101">
          <w:rPr>
            <w:rStyle w:val="Collegamentoipertestuale"/>
            <w:rFonts w:ascii="Garamond" w:hAnsi="Garamond"/>
            <w:smallCaps/>
            <w:color w:val="000000" w:themeColor="text1"/>
            <w:u w:val="none"/>
            <w:lang w:val="en-US"/>
          </w:rPr>
          <w:t xml:space="preserve"> </w:t>
        </w:r>
        <w:r w:rsidRPr="00B935F1">
          <w:rPr>
            <w:rStyle w:val="Collegamentoipertestuale"/>
            <w:rFonts w:ascii="Garamond" w:hAnsi="Garamond"/>
            <w:smallCaps/>
            <w:color w:val="000000" w:themeColor="text1"/>
            <w:u w:val="none"/>
            <w:lang w:val="en-US"/>
          </w:rPr>
          <w:t>Woloszko</w:t>
        </w:r>
      </w:hyperlink>
      <w:r w:rsidRPr="00B935F1">
        <w:rPr>
          <w:rFonts w:ascii="Garamond" w:hAnsi="Garamond"/>
          <w:smallCaps/>
          <w:color w:val="000000" w:themeColor="text1"/>
          <w:lang w:val="en-US"/>
        </w:rPr>
        <w:t>, </w:t>
      </w:r>
      <w:hyperlink r:id="rId9" w:history="1">
        <w:r w:rsidRPr="00B935F1">
          <w:rPr>
            <w:rStyle w:val="Collegamentoipertestuale"/>
            <w:rFonts w:ascii="Garamond" w:hAnsi="Garamond"/>
            <w:smallCaps/>
            <w:color w:val="000000" w:themeColor="text1"/>
            <w:u w:val="none"/>
            <w:lang w:val="en-US"/>
          </w:rPr>
          <w:t>P. Artus</w:t>
        </w:r>
      </w:hyperlink>
      <w:r w:rsidRPr="00B935F1">
        <w:rPr>
          <w:rFonts w:ascii="Garamond" w:hAnsi="Garamond"/>
          <w:smallCaps/>
          <w:color w:val="000000" w:themeColor="text1"/>
          <w:lang w:val="en-US"/>
        </w:rPr>
        <w:t xml:space="preserve"> et </w:t>
      </w:r>
      <w:hyperlink r:id="rId10" w:history="1">
        <w:r w:rsidRPr="00B935F1">
          <w:rPr>
            <w:rStyle w:val="Collegamentoipertestuale"/>
            <w:rFonts w:ascii="Garamond" w:hAnsi="Garamond"/>
            <w:smallCaps/>
            <w:color w:val="000000" w:themeColor="text1"/>
            <w:u w:val="none"/>
            <w:lang w:val="en-US"/>
          </w:rPr>
          <w:t>A. Fontanet</w:t>
        </w:r>
      </w:hyperlink>
      <w:r w:rsidRPr="00B935F1">
        <w:rPr>
          <w:rFonts w:ascii="Garamond" w:hAnsi="Garamond"/>
          <w:color w:val="000000" w:themeColor="text1"/>
          <w:lang w:val="en-US"/>
        </w:rPr>
        <w:t xml:space="preserve">, </w:t>
      </w:r>
      <w:r w:rsidRPr="00B935F1">
        <w:rPr>
          <w:rFonts w:ascii="Garamond" w:hAnsi="Garamond"/>
          <w:i/>
          <w:color w:val="000000" w:themeColor="text1"/>
          <w:lang w:val="en-US"/>
        </w:rPr>
        <w:t>The effect of COVID certificates on vaccine uptake, public health, and the economy, An analysis of the incentive effects of COVID certificates on vaccine uptake, health outcomes and the economy</w:t>
      </w:r>
      <w:r w:rsidRPr="00B935F1">
        <w:rPr>
          <w:rFonts w:ascii="Garamond" w:hAnsi="Garamond"/>
          <w:color w:val="000000" w:themeColor="text1"/>
          <w:lang w:val="en-US"/>
        </w:rPr>
        <w:t xml:space="preserve">, in </w:t>
      </w:r>
      <w:r w:rsidRPr="00B935F1">
        <w:rPr>
          <w:rFonts w:ascii="Garamond" w:hAnsi="Garamond"/>
          <w:i/>
          <w:color w:val="000000" w:themeColor="text1"/>
          <w:lang w:val="en-US"/>
        </w:rPr>
        <w:t>Bruegel.org</w:t>
      </w:r>
      <w:r w:rsidRPr="00B935F1">
        <w:rPr>
          <w:rFonts w:ascii="Garamond" w:hAnsi="Garamond"/>
          <w:color w:val="000000" w:themeColor="text1"/>
          <w:lang w:val="en-US"/>
        </w:rPr>
        <w:t xml:space="preserve">., 17 </w:t>
      </w:r>
      <w:proofErr w:type="spellStart"/>
      <w:r w:rsidRPr="00B935F1">
        <w:rPr>
          <w:rFonts w:ascii="Garamond" w:hAnsi="Garamond"/>
          <w:color w:val="000000" w:themeColor="text1"/>
          <w:lang w:val="en-US"/>
        </w:rPr>
        <w:t>gennaio</w:t>
      </w:r>
      <w:proofErr w:type="spellEnd"/>
      <w:r w:rsidRPr="00B935F1">
        <w:rPr>
          <w:rFonts w:ascii="Garamond" w:hAnsi="Garamond"/>
          <w:color w:val="000000" w:themeColor="text1"/>
          <w:lang w:val="en-US"/>
        </w:rPr>
        <w:t xml:space="preserve"> 2022, </w:t>
      </w:r>
      <w:hyperlink r:id="rId11" w:history="1">
        <w:r w:rsidRPr="00B935F1">
          <w:rPr>
            <w:rStyle w:val="Collegamentoipertestuale"/>
            <w:rFonts w:ascii="Garamond" w:hAnsi="Garamond"/>
            <w:color w:val="000000" w:themeColor="text1"/>
            <w:u w:val="none"/>
            <w:lang w:val="en-US"/>
          </w:rPr>
          <w:t>https://www.bruegel.org/working-paper/effect-covid-certificates-vaccine-uptake-public-health-and-economy</w:t>
        </w:r>
      </w:hyperlink>
      <w:r w:rsidRPr="00B935F1">
        <w:rPr>
          <w:rFonts w:ascii="Garamond" w:hAnsi="Garamond"/>
          <w:color w:val="000000" w:themeColor="text1"/>
          <w:lang w:val="en-US"/>
        </w:rPr>
        <w:t xml:space="preserve">.   </w:t>
      </w:r>
    </w:p>
  </w:footnote>
  <w:footnote w:id="10">
    <w:p w14:paraId="1BA29D39" w14:textId="1EB13647"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w:t>
      </w:r>
      <w:r w:rsidRPr="00B935F1">
        <w:rPr>
          <w:rFonts w:ascii="Garamond" w:hAnsi="Garamond"/>
          <w:i/>
          <w:color w:val="000000" w:themeColor="text1"/>
          <w:lang w:val="en-US"/>
        </w:rPr>
        <w:t>WHO</w:t>
      </w:r>
      <w:r w:rsidRPr="00B935F1">
        <w:rPr>
          <w:rFonts w:ascii="Garamond" w:hAnsi="Garamond"/>
          <w:color w:val="000000" w:themeColor="text1"/>
          <w:lang w:val="en-US"/>
        </w:rPr>
        <w:t xml:space="preserve">, </w:t>
      </w:r>
      <w:r w:rsidRPr="00B935F1">
        <w:rPr>
          <w:rFonts w:ascii="Garamond" w:hAnsi="Garamond"/>
          <w:i/>
          <w:color w:val="000000" w:themeColor="text1"/>
          <w:lang w:val="en-US"/>
        </w:rPr>
        <w:t>Coronavirus disease (COVID-19): Herd immunity, lockdowns and COVID-19, What is “herd immunity”?</w:t>
      </w:r>
      <w:r w:rsidRPr="00B935F1">
        <w:rPr>
          <w:rFonts w:ascii="Garamond" w:hAnsi="Garamond"/>
          <w:color w:val="000000" w:themeColor="text1"/>
          <w:lang w:val="en-US"/>
        </w:rPr>
        <w:t xml:space="preserve">, 31 December 2020, </w:t>
      </w:r>
      <w:hyperlink r:id="rId12" w:history="1">
        <w:r w:rsidRPr="00B935F1">
          <w:rPr>
            <w:rStyle w:val="Collegamentoipertestuale"/>
            <w:rFonts w:ascii="Garamond" w:hAnsi="Garamond"/>
            <w:color w:val="000000" w:themeColor="text1"/>
            <w:u w:val="none"/>
            <w:lang w:val="en-US"/>
          </w:rPr>
          <w:t>https://www.who.int/emergencies/diseases/novel-coronavirus-2019/question-and-answers-hub/q-a-detail/herd-immunity-lockdowns-and-covid-19?gclid=Cj0KCQiAkMGcBhCSARIsAIW6d0D7GLvdSUAphlMd41aqwYpAdUze98Xx_ZLvC4tPwUusUmRASHomlrEaAu7ZEALw_wcB</w:t>
        </w:r>
      </w:hyperlink>
      <w:r w:rsidRPr="00B935F1">
        <w:rPr>
          <w:rFonts w:ascii="Garamond" w:hAnsi="Garamond"/>
          <w:color w:val="000000" w:themeColor="text1"/>
          <w:lang w:val="en-US"/>
        </w:rPr>
        <w:t>. «</w:t>
      </w:r>
      <w:r w:rsidRPr="00156101">
        <w:rPr>
          <w:rFonts w:ascii="Garamond" w:hAnsi="Garamond"/>
          <w:color w:val="000000" w:themeColor="text1"/>
          <w:lang w:val="en-US"/>
        </w:rPr>
        <w:t>Herd immunity</w:t>
      </w:r>
      <w:r w:rsidRPr="002D4C9B">
        <w:rPr>
          <w:rFonts w:ascii="Garamond" w:hAnsi="Garamond"/>
          <w:color w:val="000000" w:themeColor="text1"/>
          <w:lang w:val="en-US"/>
        </w:rPr>
        <w:t xml:space="preserve"> (…) </w:t>
      </w:r>
      <w:r w:rsidRPr="00156101">
        <w:rPr>
          <w:rFonts w:ascii="Garamond" w:hAnsi="Garamond"/>
          <w:color w:val="000000" w:themeColor="text1"/>
          <w:lang w:val="en-US"/>
        </w:rPr>
        <w:t>is the indirect protection from an infectious disease that happens when a population is immune either through vaccination or immunity developed through previous infection</w:t>
      </w:r>
      <w:r w:rsidRPr="002D4C9B">
        <w:rPr>
          <w:rFonts w:ascii="Garamond" w:hAnsi="Garamond"/>
          <w:color w:val="000000" w:themeColor="text1"/>
          <w:lang w:val="en-US"/>
        </w:rPr>
        <w:t xml:space="preserve">. </w:t>
      </w:r>
      <w:r w:rsidRPr="00156101">
        <w:rPr>
          <w:rFonts w:ascii="Garamond" w:hAnsi="Garamond"/>
          <w:color w:val="000000" w:themeColor="text1"/>
          <w:lang w:val="en-US"/>
        </w:rPr>
        <w:t>WHO supports achieving 'herd immunity' through vaccination, not by allowing a disease to spread through any segment of the population, as this would result in unnecessary cases and deaths</w:t>
      </w:r>
      <w:r w:rsidRPr="00B935F1">
        <w:rPr>
          <w:rFonts w:ascii="Garamond" w:hAnsi="Garamond"/>
          <w:color w:val="000000" w:themeColor="text1"/>
          <w:lang w:val="en-US"/>
        </w:rPr>
        <w:t>».</w:t>
      </w:r>
    </w:p>
  </w:footnote>
  <w:footnote w:id="11">
    <w:p w14:paraId="4876422A"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smallCaps/>
          <w:color w:val="000000" w:themeColor="text1"/>
        </w:rPr>
        <w:t>Osservatorio permanente per la legalità costituzionale</w:t>
      </w:r>
      <w:r w:rsidRPr="00B935F1">
        <w:rPr>
          <w:rFonts w:ascii="Garamond" w:hAnsi="Garamond"/>
          <w:color w:val="000000" w:themeColor="text1"/>
        </w:rPr>
        <w:t xml:space="preserve">, </w:t>
      </w:r>
      <w:r w:rsidRPr="00B935F1">
        <w:rPr>
          <w:rFonts w:ascii="Garamond" w:hAnsi="Garamond"/>
          <w:i/>
          <w:color w:val="000000" w:themeColor="text1"/>
        </w:rPr>
        <w:t>Sul dovere costituzionale e comunitario di disapplicazione del cd decreto green pass</w:t>
      </w:r>
      <w:r w:rsidRPr="00B935F1">
        <w:rPr>
          <w:rFonts w:ascii="Garamond" w:hAnsi="Garamond"/>
          <w:color w:val="000000" w:themeColor="text1"/>
        </w:rPr>
        <w:t xml:space="preserve">, in </w:t>
      </w:r>
      <w:r w:rsidRPr="00B935F1">
        <w:rPr>
          <w:rFonts w:ascii="Garamond" w:hAnsi="Garamond"/>
          <w:i/>
          <w:color w:val="000000" w:themeColor="text1"/>
        </w:rPr>
        <w:t>Questionegiustizia.it</w:t>
      </w:r>
      <w:r w:rsidRPr="00B935F1">
        <w:rPr>
          <w:rFonts w:ascii="Garamond" w:hAnsi="Garamond"/>
          <w:color w:val="000000" w:themeColor="text1"/>
        </w:rPr>
        <w:t xml:space="preserve">, 2021, p. 16 e ss. </w:t>
      </w:r>
    </w:p>
  </w:footnote>
  <w:footnote w:id="12">
    <w:p w14:paraId="7BD51068" w14:textId="3437D9E5"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Sentenza della terza sezione del Consiglio di Stato del 16 settembre 2021, causa 05130/2021, Costieri e altri c. Presidenza del Consiglio dei Ministri, Ministero della Salute, Ministero dell’Interno, Ministero dell’Economia e delle Finanze, Garante per la Protezione dei Dati personali. </w:t>
      </w:r>
    </w:p>
    <w:p w14:paraId="37E36D1A" w14:textId="7D01D0B1" w:rsidR="006B1761" w:rsidRPr="00B935F1" w:rsidRDefault="006B1761" w:rsidP="00B67169">
      <w:pPr>
        <w:pStyle w:val="Testonotaapidipagina"/>
        <w:jc w:val="both"/>
        <w:rPr>
          <w:rFonts w:ascii="Garamond" w:hAnsi="Garamond"/>
          <w:color w:val="000000" w:themeColor="text1"/>
        </w:rPr>
      </w:pPr>
      <w:r w:rsidRPr="00B935F1">
        <w:rPr>
          <w:rFonts w:ascii="Garamond" w:hAnsi="Garamond"/>
          <w:color w:val="000000" w:themeColor="text1"/>
        </w:rPr>
        <w:t>Sul punto, il Consiglio ha ragionevolmente evidenziato che il «</w:t>
      </w:r>
      <w:r w:rsidRPr="00156101">
        <w:rPr>
          <w:rFonts w:ascii="Garamond" w:hAnsi="Garamond"/>
          <w:color w:val="000000" w:themeColor="text1"/>
        </w:rPr>
        <w:t>rischio di compromissione della sicurezza nel trattamento dei dati sensibili connessi alla implementazione del cd. </w:t>
      </w:r>
      <w:r w:rsidRPr="00156101">
        <w:rPr>
          <w:rFonts w:ascii="Garamond" w:hAnsi="Garamond"/>
          <w:iCs/>
          <w:color w:val="000000" w:themeColor="text1"/>
        </w:rPr>
        <w:t>Green pass</w:t>
      </w:r>
      <w:r w:rsidRPr="00156101">
        <w:rPr>
          <w:rFonts w:ascii="Garamond" w:hAnsi="Garamond"/>
          <w:color w:val="000000" w:themeColor="text1"/>
        </w:rPr>
        <w:t> appare rivestire carattere meramente potenziale</w:t>
      </w:r>
      <w:r w:rsidRPr="00B935F1">
        <w:rPr>
          <w:rFonts w:ascii="Garamond" w:hAnsi="Garamond"/>
          <w:color w:val="000000" w:themeColor="text1"/>
        </w:rPr>
        <w:t>», in quanto l’attuale sistema di controllo della suddetta certificazione non consentirebbe ai terzi “verificanti” di prendere conoscenza del tipo di certificato esibito (vaccinazione, test negativo o guarigione). C. Stato, cit.</w:t>
      </w:r>
    </w:p>
  </w:footnote>
  <w:footnote w:id="13">
    <w:p w14:paraId="2ADD5A16" w14:textId="51539364"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Ossia </w:t>
      </w:r>
      <w:proofErr w:type="spellStart"/>
      <w:r w:rsidRPr="00B935F1">
        <w:rPr>
          <w:rFonts w:ascii="Garamond" w:hAnsi="Garamond"/>
          <w:color w:val="000000" w:themeColor="text1"/>
          <w:lang w:val="en-US"/>
        </w:rPr>
        <w:t>delle</w:t>
      </w:r>
      <w:proofErr w:type="spellEnd"/>
      <w:r w:rsidRPr="00B935F1">
        <w:rPr>
          <w:rFonts w:ascii="Garamond" w:hAnsi="Garamond"/>
          <w:color w:val="000000" w:themeColor="text1"/>
          <w:lang w:val="en-US"/>
        </w:rPr>
        <w:t xml:space="preserve"> </w:t>
      </w:r>
      <w:r w:rsidRPr="00B935F1">
        <w:rPr>
          <w:rFonts w:ascii="Garamond" w:hAnsi="Garamond"/>
          <w:i/>
          <w:color w:val="000000" w:themeColor="text1"/>
          <w:lang w:val="en-US"/>
        </w:rPr>
        <w:t>Public health emergencies of international concern</w:t>
      </w:r>
      <w:r w:rsidRPr="00B935F1">
        <w:rPr>
          <w:rFonts w:ascii="Garamond" w:hAnsi="Garamond"/>
          <w:color w:val="000000" w:themeColor="text1"/>
          <w:lang w:val="en-US"/>
        </w:rPr>
        <w:t xml:space="preserve"> (c.d. </w:t>
      </w:r>
      <w:r w:rsidRPr="00B935F1">
        <w:rPr>
          <w:rFonts w:ascii="Garamond" w:hAnsi="Garamond"/>
          <w:i/>
          <w:color w:val="000000" w:themeColor="text1"/>
          <w:lang w:val="en-US"/>
        </w:rPr>
        <w:t>PHEIC</w:t>
      </w:r>
      <w:r w:rsidRPr="00B935F1">
        <w:rPr>
          <w:rFonts w:ascii="Garamond" w:hAnsi="Garamond"/>
          <w:color w:val="000000" w:themeColor="text1"/>
          <w:lang w:val="en-US"/>
        </w:rPr>
        <w:t xml:space="preserve">). </w:t>
      </w:r>
      <w:r w:rsidRPr="00B935F1">
        <w:rPr>
          <w:rFonts w:ascii="Garamond" w:hAnsi="Garamond"/>
          <w:color w:val="000000" w:themeColor="text1"/>
        </w:rPr>
        <w:t xml:space="preserve">Mi riferisco, in particolare, al Regolamento sanitario internazionale, che, peraltro, è stato efficacemente analizzato e ripercorso da autorevole dottrina nelle primissime fasi dell’emergenza sanitaria. Si menzionino a titolo meramente esemplificativo i contributi di </w:t>
      </w:r>
      <w:r w:rsidRPr="00B935F1">
        <w:rPr>
          <w:rFonts w:ascii="Garamond" w:hAnsi="Garamond"/>
          <w:smallCaps/>
          <w:color w:val="000000" w:themeColor="text1"/>
        </w:rPr>
        <w:t>C.M. Pontecorvo</w:t>
      </w:r>
      <w:r w:rsidRPr="00B935F1">
        <w:rPr>
          <w:rFonts w:ascii="Garamond" w:hAnsi="Garamond"/>
          <w:color w:val="000000" w:themeColor="text1"/>
        </w:rPr>
        <w:t xml:space="preserve">, </w:t>
      </w:r>
      <w:r w:rsidRPr="00B935F1">
        <w:rPr>
          <w:rFonts w:ascii="Garamond" w:hAnsi="Garamond"/>
          <w:i/>
          <w:iCs/>
          <w:color w:val="000000" w:themeColor="text1"/>
        </w:rPr>
        <w:t>Il diritto internazionale ai tempi del (nuovo) Coronavirus: prime considerazioni sulla recente epidemia di ‘COVID-19’</w:t>
      </w:r>
      <w:r w:rsidRPr="00B935F1">
        <w:rPr>
          <w:rFonts w:ascii="Garamond" w:hAnsi="Garamond"/>
          <w:color w:val="000000" w:themeColor="text1"/>
        </w:rPr>
        <w:t xml:space="preserve">, in </w:t>
      </w:r>
      <w:r w:rsidRPr="00B935F1">
        <w:rPr>
          <w:rFonts w:ascii="Garamond" w:hAnsi="Garamond"/>
          <w:i/>
          <w:iCs/>
          <w:color w:val="000000" w:themeColor="text1"/>
        </w:rPr>
        <w:t>Diritti umani e Diritto internazionale</w:t>
      </w:r>
      <w:r w:rsidRPr="00B935F1">
        <w:rPr>
          <w:rFonts w:ascii="Garamond" w:hAnsi="Garamond"/>
          <w:color w:val="000000" w:themeColor="text1"/>
        </w:rPr>
        <w:t xml:space="preserve">, 2020, pp. 195-216. </w:t>
      </w:r>
      <w:r w:rsidRPr="00B935F1">
        <w:rPr>
          <w:rFonts w:ascii="Garamond" w:hAnsi="Garamond"/>
          <w:smallCaps/>
          <w:color w:val="000000" w:themeColor="text1"/>
        </w:rPr>
        <w:t>G. Perrone</w:t>
      </w:r>
      <w:r w:rsidRPr="00B935F1">
        <w:rPr>
          <w:rFonts w:ascii="Garamond" w:hAnsi="Garamond"/>
          <w:color w:val="000000" w:themeColor="text1"/>
        </w:rPr>
        <w:t xml:space="preserve">, </w:t>
      </w:r>
      <w:r w:rsidRPr="00B935F1">
        <w:rPr>
          <w:rFonts w:ascii="Garamond" w:hAnsi="Garamond"/>
          <w:i/>
          <w:iCs/>
          <w:color w:val="000000" w:themeColor="text1"/>
        </w:rPr>
        <w:t xml:space="preserve">Il Regolamento sanitario internazionale </w:t>
      </w:r>
      <w:proofErr w:type="spellStart"/>
      <w:r w:rsidRPr="00B935F1">
        <w:rPr>
          <w:rFonts w:ascii="Garamond" w:hAnsi="Garamond"/>
          <w:i/>
          <w:iCs/>
          <w:color w:val="000000" w:themeColor="text1"/>
        </w:rPr>
        <w:t>dell’oms</w:t>
      </w:r>
      <w:proofErr w:type="spellEnd"/>
      <w:r w:rsidRPr="00B935F1">
        <w:rPr>
          <w:rFonts w:ascii="Garamond" w:hAnsi="Garamond"/>
          <w:i/>
          <w:iCs/>
          <w:color w:val="000000" w:themeColor="text1"/>
        </w:rPr>
        <w:t xml:space="preserve"> alla prova dell’emergenza covid-19, </w:t>
      </w:r>
      <w:r w:rsidRPr="00B935F1">
        <w:rPr>
          <w:rFonts w:ascii="Garamond" w:hAnsi="Garamond"/>
          <w:color w:val="000000" w:themeColor="text1"/>
        </w:rPr>
        <w:t xml:space="preserve">in </w:t>
      </w:r>
      <w:r w:rsidRPr="00B935F1">
        <w:rPr>
          <w:rFonts w:ascii="Garamond" w:hAnsi="Garamond"/>
          <w:i/>
          <w:iCs/>
          <w:color w:val="000000" w:themeColor="text1"/>
        </w:rPr>
        <w:t>Biodiritto</w:t>
      </w:r>
      <w:r w:rsidRPr="00B935F1">
        <w:rPr>
          <w:rFonts w:ascii="Garamond" w:hAnsi="Garamond"/>
          <w:color w:val="000000" w:themeColor="text1"/>
        </w:rPr>
        <w:t xml:space="preserve">, 2020, pp. 1-6.  </w:t>
      </w:r>
      <w:r w:rsidRPr="00B935F1">
        <w:rPr>
          <w:rFonts w:ascii="Garamond" w:hAnsi="Garamond"/>
          <w:smallCaps/>
          <w:color w:val="000000" w:themeColor="text1"/>
        </w:rPr>
        <w:t>I.R. Pavone</w:t>
      </w:r>
      <w:r w:rsidRPr="00B935F1">
        <w:rPr>
          <w:rFonts w:ascii="Garamond" w:hAnsi="Garamond"/>
          <w:color w:val="000000" w:themeColor="text1"/>
        </w:rPr>
        <w:t xml:space="preserve">, </w:t>
      </w:r>
      <w:r w:rsidRPr="00B935F1">
        <w:rPr>
          <w:rFonts w:ascii="Garamond" w:hAnsi="Garamond"/>
          <w:i/>
          <w:iCs/>
          <w:color w:val="000000" w:themeColor="text1"/>
        </w:rPr>
        <w:t xml:space="preserve">La dichiarazione di pandemia di covid-19 </w:t>
      </w:r>
      <w:proofErr w:type="gramStart"/>
      <w:r w:rsidRPr="00B935F1">
        <w:rPr>
          <w:rFonts w:ascii="Garamond" w:hAnsi="Garamond"/>
          <w:i/>
          <w:iCs/>
          <w:color w:val="000000" w:themeColor="text1"/>
        </w:rPr>
        <w:t>dell’</w:t>
      </w:r>
      <w:proofErr w:type="spellStart"/>
      <w:r w:rsidRPr="00B935F1">
        <w:rPr>
          <w:rFonts w:ascii="Garamond" w:hAnsi="Garamond"/>
          <w:i/>
          <w:iCs/>
          <w:color w:val="000000" w:themeColor="text1"/>
        </w:rPr>
        <w:t>oms:implicazioni</w:t>
      </w:r>
      <w:proofErr w:type="spellEnd"/>
      <w:proofErr w:type="gramEnd"/>
      <w:r w:rsidRPr="00B935F1">
        <w:rPr>
          <w:rFonts w:ascii="Garamond" w:hAnsi="Garamond"/>
          <w:i/>
          <w:iCs/>
          <w:color w:val="000000" w:themeColor="text1"/>
        </w:rPr>
        <w:t xml:space="preserve"> di governance sanitaria globale, </w:t>
      </w:r>
      <w:r w:rsidRPr="00B935F1">
        <w:rPr>
          <w:rFonts w:ascii="Garamond" w:hAnsi="Garamond"/>
          <w:color w:val="000000" w:themeColor="text1"/>
        </w:rPr>
        <w:t xml:space="preserve">in </w:t>
      </w:r>
      <w:r w:rsidRPr="00B935F1">
        <w:rPr>
          <w:rFonts w:ascii="Garamond" w:hAnsi="Garamond"/>
          <w:i/>
          <w:iCs/>
          <w:color w:val="000000" w:themeColor="text1"/>
        </w:rPr>
        <w:t>Biodiritto</w:t>
      </w:r>
      <w:r w:rsidRPr="00B935F1">
        <w:rPr>
          <w:rFonts w:ascii="Garamond" w:hAnsi="Garamond"/>
          <w:color w:val="000000" w:themeColor="text1"/>
        </w:rPr>
        <w:t xml:space="preserve">, 2020, pp. 1-10. </w:t>
      </w:r>
    </w:p>
  </w:footnote>
  <w:footnote w:id="14">
    <w:p w14:paraId="08D5B717" w14:textId="68380778"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La stessa Commissione europea nella proposta di riforma del </w:t>
      </w:r>
      <w:r w:rsidRPr="00B935F1">
        <w:rPr>
          <w:rFonts w:ascii="Garamond" w:hAnsi="Garamond"/>
          <w:i/>
          <w:color w:val="000000" w:themeColor="text1"/>
        </w:rPr>
        <w:t>green pass</w:t>
      </w:r>
      <w:r w:rsidRPr="00B935F1">
        <w:rPr>
          <w:rFonts w:ascii="Garamond" w:hAnsi="Garamond"/>
          <w:color w:val="000000" w:themeColor="text1"/>
        </w:rPr>
        <w:t xml:space="preserve"> del 2022, ha ribadito, infatti, l’esigenza di effettuare </w:t>
      </w:r>
      <w:r w:rsidRPr="00156101">
        <w:rPr>
          <w:rFonts w:ascii="Garamond" w:hAnsi="Garamond"/>
          <w:i/>
          <w:color w:val="000000" w:themeColor="text1"/>
        </w:rPr>
        <w:t>«</w:t>
      </w:r>
      <w:r w:rsidRPr="002D4C9B">
        <w:rPr>
          <w:rFonts w:ascii="Garamond" w:hAnsi="Garamond"/>
          <w:i/>
          <w:color w:val="000000" w:themeColor="text1"/>
        </w:rPr>
        <w:t>una valutazione dell'impatto del regolamento sull'agevolazione della libera circolazione, inclusi i viaggi e il turismo e l'accettazione dei diversi tipi di vaccino, i diritti fondamentali e la non discriminazione, nonché sulla protezione dei dati personali durante la pandemia di COVID-19</w:t>
      </w:r>
      <w:r w:rsidRPr="00B935F1">
        <w:rPr>
          <w:rFonts w:ascii="Garamond" w:hAnsi="Garamond"/>
          <w:color w:val="000000" w:themeColor="text1"/>
        </w:rPr>
        <w:t>». Proposta del Parlamento europeo e del Consiglio che modifica il regolamento (UE) n. 2021/953, p. 5, cit.</w:t>
      </w:r>
    </w:p>
  </w:footnote>
  <w:footnote w:id="15">
    <w:p w14:paraId="09DDB092" w14:textId="2711657D"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Ciò si è già constatato nel XX° secolo con la diffusione dell’influenza spagnola, che ha colpito quasi un terzo della popolazione mondiale, producendo conseguenze devastanti in tutti i settori della comunità organizzata; e più recentemente nel 2009 con l’imperversare dell’influenza suina H1N1 in Messico, che ha tempestivamente indotto l’OMS l’11 giugno 2009 a riconoscere il livello di allerta pandemica di tale malattia (per la prima volta nel XXI° secolo), a seguito della propagazione del virus in varie regioni del mondo. </w:t>
      </w:r>
      <w:r w:rsidRPr="00B935F1">
        <w:rPr>
          <w:rFonts w:ascii="Garamond" w:hAnsi="Garamond"/>
          <w:smallCaps/>
          <w:color w:val="000000" w:themeColor="text1"/>
          <w:lang w:val="en-US"/>
        </w:rPr>
        <w:t>D. P. Fidler</w:t>
      </w:r>
      <w:r w:rsidRPr="00B935F1">
        <w:rPr>
          <w:rFonts w:ascii="Garamond" w:hAnsi="Garamond"/>
          <w:color w:val="000000" w:themeColor="text1"/>
          <w:lang w:val="en-US"/>
        </w:rPr>
        <w:t xml:space="preserve">, </w:t>
      </w:r>
      <w:r w:rsidRPr="00B935F1">
        <w:rPr>
          <w:rFonts w:ascii="Garamond" w:hAnsi="Garamond"/>
          <w:i/>
          <w:color w:val="000000" w:themeColor="text1"/>
          <w:lang w:val="en-US"/>
        </w:rPr>
        <w:t>International Law and Infectious Diseases</w:t>
      </w:r>
      <w:r w:rsidRPr="00B935F1">
        <w:rPr>
          <w:rFonts w:ascii="Garamond" w:hAnsi="Garamond"/>
          <w:color w:val="000000" w:themeColor="text1"/>
          <w:lang w:val="en-US"/>
        </w:rPr>
        <w:t xml:space="preserve">, Oxford, 1999. </w:t>
      </w:r>
      <w:r w:rsidRPr="00B935F1">
        <w:rPr>
          <w:rFonts w:ascii="Garamond" w:hAnsi="Garamond"/>
          <w:smallCaps/>
          <w:color w:val="000000" w:themeColor="text1"/>
          <w:lang w:val="en-US"/>
        </w:rPr>
        <w:t xml:space="preserve">D. P. </w:t>
      </w:r>
      <w:proofErr w:type="spellStart"/>
      <w:r w:rsidRPr="00B935F1">
        <w:rPr>
          <w:rFonts w:ascii="Garamond" w:hAnsi="Garamond"/>
          <w:smallCaps/>
          <w:color w:val="000000" w:themeColor="text1"/>
          <w:lang w:val="en-US"/>
        </w:rPr>
        <w:t>Filder</w:t>
      </w:r>
      <w:proofErr w:type="spellEnd"/>
      <w:r w:rsidRPr="00B935F1">
        <w:rPr>
          <w:rFonts w:ascii="Garamond" w:hAnsi="Garamond"/>
          <w:color w:val="000000" w:themeColor="text1"/>
          <w:lang w:val="en-US"/>
        </w:rPr>
        <w:t xml:space="preserve">, </w:t>
      </w:r>
      <w:r w:rsidRPr="00B935F1">
        <w:rPr>
          <w:rFonts w:ascii="Garamond" w:hAnsi="Garamond"/>
          <w:i/>
          <w:color w:val="000000" w:themeColor="text1"/>
          <w:lang w:val="en-US"/>
        </w:rPr>
        <w:t>The covid-19 Pandemic, Geopolitics, and International Law</w:t>
      </w:r>
      <w:r w:rsidRPr="00B935F1">
        <w:rPr>
          <w:rFonts w:ascii="Garamond" w:hAnsi="Garamond"/>
          <w:color w:val="000000" w:themeColor="text1"/>
          <w:lang w:val="en-US"/>
        </w:rPr>
        <w:t xml:space="preserve">, in </w:t>
      </w:r>
      <w:r w:rsidRPr="00B935F1">
        <w:rPr>
          <w:rFonts w:ascii="Garamond" w:hAnsi="Garamond"/>
          <w:i/>
          <w:color w:val="000000" w:themeColor="text1"/>
          <w:lang w:val="en-US"/>
        </w:rPr>
        <w:t>Journal of international humanitarian legal studies</w:t>
      </w:r>
      <w:r w:rsidRPr="00B935F1">
        <w:rPr>
          <w:rFonts w:ascii="Garamond" w:hAnsi="Garamond"/>
          <w:color w:val="000000" w:themeColor="text1"/>
          <w:lang w:val="en-US"/>
        </w:rPr>
        <w:t xml:space="preserve">, 2020, pp. 237-248. </w:t>
      </w:r>
      <w:r w:rsidRPr="00B935F1">
        <w:rPr>
          <w:rFonts w:ascii="Garamond" w:hAnsi="Garamond"/>
          <w:smallCaps/>
          <w:color w:val="000000" w:themeColor="text1"/>
          <w:lang w:val="en-US"/>
        </w:rPr>
        <w:t>D. P. Fidler</w:t>
      </w:r>
      <w:r w:rsidRPr="00B935F1">
        <w:rPr>
          <w:rFonts w:ascii="Garamond" w:hAnsi="Garamond"/>
          <w:color w:val="000000" w:themeColor="text1"/>
          <w:lang w:val="en-US"/>
        </w:rPr>
        <w:t xml:space="preserve">, </w:t>
      </w:r>
      <w:r w:rsidRPr="00B935F1">
        <w:rPr>
          <w:rFonts w:ascii="Garamond" w:hAnsi="Garamond"/>
          <w:i/>
          <w:color w:val="000000" w:themeColor="text1"/>
          <w:lang w:val="en-US"/>
        </w:rPr>
        <w:t>To Fight a New Coronavirus: The COVID-19 Pandemic, Political Herd Immunity, and Global Health Jurisprudence</w:t>
      </w:r>
      <w:r w:rsidRPr="00B935F1">
        <w:rPr>
          <w:rFonts w:ascii="Garamond" w:hAnsi="Garamond"/>
          <w:color w:val="000000" w:themeColor="text1"/>
          <w:lang w:val="en-US"/>
        </w:rPr>
        <w:t>, in</w:t>
      </w:r>
      <w:r w:rsidRPr="00B935F1">
        <w:rPr>
          <w:color w:val="000000" w:themeColor="text1"/>
          <w:lang w:val="en-US"/>
        </w:rPr>
        <w:t xml:space="preserve"> </w:t>
      </w:r>
      <w:r w:rsidRPr="00B935F1">
        <w:rPr>
          <w:rFonts w:ascii="Garamond" w:hAnsi="Garamond"/>
          <w:i/>
          <w:color w:val="000000" w:themeColor="text1"/>
          <w:lang w:val="en-US"/>
        </w:rPr>
        <w:t xml:space="preserve">Chin. Jour. Int. </w:t>
      </w:r>
      <w:proofErr w:type="gramStart"/>
      <w:r w:rsidRPr="00B935F1">
        <w:rPr>
          <w:rFonts w:ascii="Garamond" w:hAnsi="Garamond"/>
          <w:i/>
          <w:color w:val="000000" w:themeColor="text1"/>
          <w:lang w:val="en-US"/>
        </w:rPr>
        <w:t>Law</w:t>
      </w:r>
      <w:r w:rsidRPr="00B935F1">
        <w:rPr>
          <w:rFonts w:ascii="Garamond" w:hAnsi="Garamond"/>
          <w:i/>
          <w:iCs/>
          <w:color w:val="000000" w:themeColor="text1"/>
          <w:lang w:val="en-US"/>
        </w:rPr>
        <w:t xml:space="preserve"> </w:t>
      </w:r>
      <w:r w:rsidRPr="00B935F1">
        <w:rPr>
          <w:rFonts w:ascii="Garamond" w:hAnsi="Garamond"/>
          <w:color w:val="000000" w:themeColor="text1"/>
          <w:lang w:val="en-US"/>
        </w:rPr>
        <w:t>,</w:t>
      </w:r>
      <w:proofErr w:type="gramEnd"/>
      <w:r w:rsidRPr="00B935F1">
        <w:rPr>
          <w:rFonts w:ascii="Garamond" w:hAnsi="Garamond"/>
          <w:color w:val="000000" w:themeColor="text1"/>
          <w:lang w:val="en-US"/>
        </w:rPr>
        <w:t xml:space="preserve"> 2020,                           pp. 207–213.    </w:t>
      </w:r>
      <w:r w:rsidRPr="00B935F1">
        <w:rPr>
          <w:rFonts w:ascii="Garamond" w:hAnsi="Garamond"/>
          <w:i/>
          <w:color w:val="000000" w:themeColor="text1"/>
          <w:lang w:val="en-US"/>
        </w:rPr>
        <w:t>WHO</w:t>
      </w:r>
      <w:r w:rsidRPr="00B935F1">
        <w:rPr>
          <w:rFonts w:ascii="Garamond" w:hAnsi="Garamond"/>
          <w:color w:val="000000" w:themeColor="text1"/>
          <w:lang w:val="en-US"/>
        </w:rPr>
        <w:t xml:space="preserve">, </w:t>
      </w:r>
      <w:r w:rsidRPr="00B935F1">
        <w:rPr>
          <w:rFonts w:ascii="Garamond" w:hAnsi="Garamond"/>
          <w:i/>
          <w:color w:val="000000" w:themeColor="text1"/>
          <w:lang w:val="en-US"/>
        </w:rPr>
        <w:t>Influenza A (H1N1)</w:t>
      </w:r>
      <w:r w:rsidRPr="00B935F1">
        <w:rPr>
          <w:rFonts w:ascii="Garamond" w:hAnsi="Garamond"/>
          <w:color w:val="000000" w:themeColor="text1"/>
          <w:lang w:val="en-US"/>
        </w:rPr>
        <w:t xml:space="preserve">, 2010, </w:t>
      </w:r>
      <w:hyperlink r:id="rId13" w:history="1">
        <w:r w:rsidRPr="00B935F1">
          <w:rPr>
            <w:rStyle w:val="Collegamentoipertestuale"/>
            <w:rFonts w:ascii="Garamond" w:hAnsi="Garamond"/>
            <w:color w:val="000000" w:themeColor="text1"/>
            <w:u w:val="none"/>
            <w:lang w:val="en-US"/>
          </w:rPr>
          <w:t>https://www.who.int/emergencies/situations/influenza-a-(h1n1)-outbreak</w:t>
        </w:r>
      </w:hyperlink>
      <w:r w:rsidRPr="00B935F1">
        <w:rPr>
          <w:rFonts w:ascii="Garamond" w:hAnsi="Garamond"/>
          <w:color w:val="000000" w:themeColor="text1"/>
          <w:lang w:val="en-US"/>
        </w:rPr>
        <w:t xml:space="preserve">. </w:t>
      </w:r>
      <w:r w:rsidRPr="00B935F1">
        <w:rPr>
          <w:rFonts w:ascii="Garamond" w:hAnsi="Garamond"/>
          <w:color w:val="000000" w:themeColor="text1"/>
        </w:rPr>
        <w:t xml:space="preserve">Non manca, infatti, chi, per descrivere la nostra comunità organizzata ha utilizzato il termine “società del rischio”. </w:t>
      </w:r>
    </w:p>
    <w:p w14:paraId="18CB81E5" w14:textId="660F3F32" w:rsidR="006B1761" w:rsidRPr="00B935F1" w:rsidRDefault="006B1761" w:rsidP="00B67169">
      <w:pPr>
        <w:pStyle w:val="Testonotaapidipagina"/>
        <w:jc w:val="both"/>
        <w:rPr>
          <w:rFonts w:ascii="Garamond" w:hAnsi="Garamond"/>
          <w:color w:val="000000" w:themeColor="text1"/>
        </w:rPr>
      </w:pPr>
      <w:r w:rsidRPr="00B935F1">
        <w:rPr>
          <w:rFonts w:ascii="Garamond" w:hAnsi="Garamond"/>
          <w:smallCaps/>
          <w:color w:val="000000" w:themeColor="text1"/>
        </w:rPr>
        <w:t>U. Beck,</w:t>
      </w:r>
      <w:r w:rsidRPr="00B935F1">
        <w:rPr>
          <w:rFonts w:ascii="Garamond" w:hAnsi="Garamond"/>
          <w:color w:val="000000" w:themeColor="text1"/>
        </w:rPr>
        <w:t xml:space="preserve"> </w:t>
      </w:r>
      <w:r w:rsidRPr="00B935F1">
        <w:rPr>
          <w:rFonts w:ascii="Garamond" w:hAnsi="Garamond"/>
          <w:i/>
          <w:color w:val="000000" w:themeColor="text1"/>
        </w:rPr>
        <w:t>La società del rischio, verso una seconda modernità</w:t>
      </w:r>
      <w:r w:rsidRPr="00B935F1">
        <w:rPr>
          <w:rFonts w:ascii="Garamond" w:hAnsi="Garamond"/>
          <w:color w:val="000000" w:themeColor="text1"/>
        </w:rPr>
        <w:t xml:space="preserve">, Roma, 2013, p. 384. </w:t>
      </w:r>
    </w:p>
  </w:footnote>
  <w:footnote w:id="16">
    <w:p w14:paraId="5242F227" w14:textId="3856C38E"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Quanto all’origine del nuovo coronavirus, l’</w:t>
      </w:r>
      <w:r w:rsidRPr="00B935F1">
        <w:rPr>
          <w:rFonts w:ascii="Garamond" w:hAnsi="Garamond"/>
          <w:i/>
          <w:color w:val="000000" w:themeColor="text1"/>
        </w:rPr>
        <w:t>équipe</w:t>
      </w:r>
      <w:r w:rsidRPr="00B935F1">
        <w:rPr>
          <w:rFonts w:ascii="Garamond" w:hAnsi="Garamond"/>
          <w:color w:val="000000" w:themeColor="text1"/>
        </w:rPr>
        <w:t xml:space="preserve"> di medici onusiani ha prospettato quattro scenari. Secondo una prima tesi (ritenuta da «</w:t>
      </w:r>
      <w:proofErr w:type="spellStart"/>
      <w:r w:rsidRPr="00B935F1">
        <w:rPr>
          <w:rFonts w:ascii="Garamond" w:hAnsi="Garamond"/>
          <w:i/>
          <w:color w:val="000000" w:themeColor="text1"/>
        </w:rPr>
        <w:t>possible</w:t>
      </w:r>
      <w:proofErr w:type="spellEnd"/>
      <w:r w:rsidRPr="00B935F1">
        <w:rPr>
          <w:rFonts w:ascii="Garamond" w:hAnsi="Garamond"/>
          <w:i/>
          <w:color w:val="000000" w:themeColor="text1"/>
        </w:rPr>
        <w:t xml:space="preserve"> to </w:t>
      </w:r>
      <w:proofErr w:type="spellStart"/>
      <w:r w:rsidRPr="00B935F1">
        <w:rPr>
          <w:rFonts w:ascii="Garamond" w:hAnsi="Garamond"/>
          <w:i/>
          <w:color w:val="000000" w:themeColor="text1"/>
        </w:rPr>
        <w:t>likely</w:t>
      </w:r>
      <w:proofErr w:type="spellEnd"/>
      <w:r w:rsidRPr="00B935F1">
        <w:rPr>
          <w:rFonts w:ascii="Garamond" w:hAnsi="Garamond"/>
          <w:color w:val="000000" w:themeColor="text1"/>
        </w:rPr>
        <w:t xml:space="preserve">»), il virus potrebbe essere stato trasmesso direttamente dall’animale all’uomo (c.d. </w:t>
      </w:r>
      <w:r w:rsidRPr="00B935F1">
        <w:rPr>
          <w:rFonts w:ascii="Garamond" w:hAnsi="Garamond"/>
          <w:i/>
          <w:color w:val="000000" w:themeColor="text1"/>
        </w:rPr>
        <w:t>spillover</w:t>
      </w:r>
      <w:r w:rsidRPr="00B935F1">
        <w:rPr>
          <w:rFonts w:ascii="Garamond" w:hAnsi="Garamond"/>
          <w:color w:val="000000" w:themeColor="text1"/>
        </w:rPr>
        <w:t>), ipotizzando come possibile luogo del contagio il mercato del pesce di Wuhan e come possibili animali sorgenti i pipistrelli o i pangolini. Secondo un’altra tesi, il contagio potrebbe essere avvenuto da un animale ad un altro soggetto intermedio, che avrebbe successivamente contagiato l’umano. Secondo una terza tesi, (ritenuta «</w:t>
      </w:r>
      <w:r w:rsidRPr="00156101">
        <w:rPr>
          <w:rFonts w:ascii="Garamond" w:hAnsi="Garamond"/>
          <w:color w:val="000000" w:themeColor="text1"/>
        </w:rPr>
        <w:t>estremamente improbabile</w:t>
      </w:r>
      <w:r w:rsidRPr="00B935F1">
        <w:rPr>
          <w:rFonts w:ascii="Garamond" w:hAnsi="Garamond"/>
          <w:color w:val="000000" w:themeColor="text1"/>
        </w:rPr>
        <w:t xml:space="preserve">» dall’OMS) il virus sarebbe fuoriuscito incidentalmente dal laboratorio di virologia di Wuhan. Un’ultima tesi, (sostenuta quasi isolatamente da Pechino) vede invece come possibili responsabili della diffusione (del virus all’uomo) alcune carni congelate importate dalla Cina. In ogni caso, il </w:t>
      </w:r>
      <w:r w:rsidRPr="00B935F1">
        <w:rPr>
          <w:rFonts w:ascii="Garamond" w:hAnsi="Garamond"/>
          <w:i/>
          <w:color w:val="000000" w:themeColor="text1"/>
        </w:rPr>
        <w:t>team</w:t>
      </w:r>
      <w:r w:rsidRPr="00B935F1">
        <w:rPr>
          <w:rFonts w:ascii="Garamond" w:hAnsi="Garamond"/>
          <w:color w:val="000000" w:themeColor="text1"/>
        </w:rPr>
        <w:t xml:space="preserve"> onusiano ha specificato che è da ritenersi escluso, sulla scorta dei </w:t>
      </w:r>
      <w:r w:rsidRPr="00B935F1">
        <w:rPr>
          <w:rFonts w:ascii="Garamond" w:hAnsi="Garamond"/>
          <w:i/>
          <w:iCs/>
          <w:color w:val="000000" w:themeColor="text1"/>
        </w:rPr>
        <w:t xml:space="preserve">dossier </w:t>
      </w:r>
      <w:r w:rsidRPr="00B935F1">
        <w:rPr>
          <w:rFonts w:ascii="Garamond" w:hAnsi="Garamond"/>
          <w:color w:val="000000" w:themeColor="text1"/>
        </w:rPr>
        <w:t xml:space="preserve">raccolti ed esaminati, che il virus sia stato deliberatamente modificato in laboratorio e successivamente rilasciato. </w:t>
      </w:r>
      <w:r w:rsidRPr="00B935F1">
        <w:rPr>
          <w:rFonts w:ascii="Garamond" w:hAnsi="Garamond"/>
          <w:i/>
          <w:iCs/>
          <w:color w:val="000000" w:themeColor="text1"/>
          <w:lang w:val="en-US"/>
        </w:rPr>
        <w:t>WHO-convened Global Study of Origins of Sars-Cov-2: China Part 14 January – 10 February 2021 Joint Report</w:t>
      </w:r>
      <w:r w:rsidRPr="00B935F1">
        <w:rPr>
          <w:rFonts w:ascii="Garamond" w:hAnsi="Garamond"/>
          <w:color w:val="000000" w:themeColor="text1"/>
          <w:lang w:val="en-US"/>
        </w:rPr>
        <w:t xml:space="preserve">, www.who.int.docs, pp. 1-120.  </w:t>
      </w:r>
    </w:p>
  </w:footnote>
  <w:footnote w:id="17">
    <w:p w14:paraId="6D509257" w14:textId="2D2660F7"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Recentemente, il Direttore generale dell’OMS ha riconosciuto la diffusione del vaiolo delle scimmie (c.d. </w:t>
      </w:r>
      <w:proofErr w:type="spellStart"/>
      <w:r w:rsidRPr="00B935F1">
        <w:rPr>
          <w:rFonts w:ascii="Garamond" w:hAnsi="Garamond"/>
          <w:i/>
          <w:color w:val="000000" w:themeColor="text1"/>
        </w:rPr>
        <w:t>monkeypox</w:t>
      </w:r>
      <w:proofErr w:type="spellEnd"/>
      <w:r w:rsidRPr="00B935F1">
        <w:rPr>
          <w:rFonts w:ascii="Garamond" w:hAnsi="Garamond"/>
          <w:color w:val="000000" w:themeColor="text1"/>
        </w:rPr>
        <w:t xml:space="preserve">) come emergenza sanitaria pubblica di rilevanza internazionale (c.d. </w:t>
      </w:r>
      <w:r w:rsidRPr="00B935F1">
        <w:rPr>
          <w:rFonts w:ascii="Garamond" w:hAnsi="Garamond"/>
          <w:i/>
          <w:color w:val="000000" w:themeColor="text1"/>
        </w:rPr>
        <w:t>PHEIC</w:t>
      </w:r>
      <w:r w:rsidRPr="00B935F1">
        <w:rPr>
          <w:rFonts w:ascii="Garamond" w:hAnsi="Garamond"/>
          <w:color w:val="000000" w:themeColor="text1"/>
        </w:rPr>
        <w:t xml:space="preserve">), stante il parere contrario del Comitato emergenziale </w:t>
      </w:r>
      <w:r w:rsidRPr="00B935F1">
        <w:rPr>
          <w:rFonts w:ascii="Garamond" w:hAnsi="Garamond"/>
          <w:i/>
          <w:color w:val="000000" w:themeColor="text1"/>
        </w:rPr>
        <w:t>ad hoc</w:t>
      </w:r>
      <w:r w:rsidRPr="00B935F1">
        <w:rPr>
          <w:rFonts w:ascii="Garamond" w:hAnsi="Garamond"/>
          <w:color w:val="000000" w:themeColor="text1"/>
        </w:rPr>
        <w:t xml:space="preserve"> per la valutazione del rischio sanitario. Tale dichiarazione ha autorizzato il Direttore ad emanare raccomandazioni </w:t>
      </w:r>
      <w:r w:rsidRPr="00B935F1">
        <w:rPr>
          <w:rFonts w:ascii="Garamond" w:hAnsi="Garamond"/>
          <w:i/>
          <w:color w:val="000000" w:themeColor="text1"/>
        </w:rPr>
        <w:t>ad hoc</w:t>
      </w:r>
      <w:r w:rsidRPr="00B935F1">
        <w:rPr>
          <w:rFonts w:ascii="Garamond" w:hAnsi="Garamond"/>
          <w:color w:val="000000" w:themeColor="text1"/>
        </w:rPr>
        <w:t xml:space="preserve"> di diverso tenore, a seconda che fossero indirizzate ai Paesi in cui si è constatata l’insorgenza della suddetta patologia, ovvero ai Paesi membri con nessun caso registrato della malattia. </w:t>
      </w:r>
      <w:r w:rsidRPr="00B935F1">
        <w:rPr>
          <w:rFonts w:ascii="Garamond" w:hAnsi="Garamond"/>
          <w:i/>
          <w:color w:val="000000" w:themeColor="text1"/>
          <w:lang w:val="en-US"/>
        </w:rPr>
        <w:t>WHO Director-General declares the ongoing monkeypox outbreak a Public Health Emergency of International Concern</w:t>
      </w:r>
      <w:r w:rsidRPr="00B935F1">
        <w:rPr>
          <w:rFonts w:ascii="Garamond" w:hAnsi="Garamond"/>
          <w:color w:val="000000" w:themeColor="text1"/>
          <w:lang w:val="en-US"/>
        </w:rPr>
        <w:t xml:space="preserve">, 23 July 2022, </w:t>
      </w:r>
      <w:hyperlink r:id="rId14" w:history="1">
        <w:r w:rsidRPr="00B935F1">
          <w:rPr>
            <w:rStyle w:val="Collegamentoipertestuale"/>
            <w:rFonts w:ascii="Garamond" w:hAnsi="Garamond"/>
            <w:color w:val="000000" w:themeColor="text1"/>
            <w:u w:val="none"/>
            <w:lang w:val="en-US"/>
          </w:rPr>
          <w:t>https://www.who.int/europe/news/item/23-07-2022-who-director-general-declares-the-ongoing-monkeypox-outbreak-a-public-health-event-of-international-concern</w:t>
        </w:r>
      </w:hyperlink>
      <w:r w:rsidRPr="00B935F1">
        <w:rPr>
          <w:rFonts w:ascii="Garamond" w:hAnsi="Garamond"/>
          <w:color w:val="000000" w:themeColor="text1"/>
          <w:lang w:val="en-US"/>
        </w:rPr>
        <w:t xml:space="preserve">.  </w:t>
      </w:r>
    </w:p>
  </w:footnote>
  <w:footnote w:id="18">
    <w:p w14:paraId="470AFB15" w14:textId="6A37A441"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La cui azione (così come quella degli Stati membri) è ispirata al principio di leale cooperazione, contenuto nell’art. 4 del TUE «</w:t>
      </w:r>
      <w:r w:rsidRPr="00156101">
        <w:rPr>
          <w:rFonts w:ascii="Garamond" w:hAnsi="Garamond"/>
          <w:color w:val="000000" w:themeColor="text1"/>
        </w:rPr>
        <w:t>In virtù del</w:t>
      </w:r>
      <w:r w:rsidRPr="002D4C9B">
        <w:rPr>
          <w:rFonts w:ascii="Garamond" w:hAnsi="Garamond"/>
          <w:color w:val="000000" w:themeColor="text1"/>
        </w:rPr>
        <w:t xml:space="preserve"> [quale], </w:t>
      </w:r>
      <w:r w:rsidRPr="00156101">
        <w:rPr>
          <w:rFonts w:ascii="Garamond" w:hAnsi="Garamond"/>
          <w:color w:val="000000" w:themeColor="text1"/>
        </w:rPr>
        <w:t>l'Unione e gli Stati membri si rispettano e si assistono reciprocamente nell'adempimento dei compiti derivanti dai trattati</w:t>
      </w:r>
      <w:r w:rsidRPr="002D4C9B">
        <w:rPr>
          <w:rFonts w:ascii="Garamond" w:hAnsi="Garamond"/>
          <w:color w:val="000000" w:themeColor="text1"/>
        </w:rPr>
        <w:t xml:space="preserve">. </w:t>
      </w:r>
      <w:r w:rsidRPr="00156101">
        <w:rPr>
          <w:rFonts w:ascii="Garamond" w:hAnsi="Garamond"/>
          <w:color w:val="000000" w:themeColor="text1"/>
        </w:rPr>
        <w:t>Gli Stati membri adottano ogni misura di carattere generale o particolare atta ad assicurare l'esecuzione degli obblighi derivanti dai trattati o conseguenti agli atti delle istituzioni dell'Unione. Gli Stati membri facilitano all'Unione l'adempimento dei suoi compiti e si astengono da qualsiasi misura che rischi di mettere in pericolo la realizzazione degli obiettivi dell'Unione</w:t>
      </w:r>
      <w:r w:rsidRPr="002D4C9B">
        <w:rPr>
          <w:rFonts w:ascii="Garamond" w:hAnsi="Garamond"/>
          <w:color w:val="000000" w:themeColor="text1"/>
        </w:rPr>
        <w:t>»</w:t>
      </w:r>
      <w:r w:rsidRPr="00B935F1">
        <w:rPr>
          <w:rFonts w:ascii="Garamond" w:hAnsi="Garamond"/>
          <w:color w:val="000000" w:themeColor="text1"/>
        </w:rPr>
        <w:t>. Tale principio, nel tempo, è stato riempito di contenuto dalla Corte di giustizia dell’UE e utilizzato dai giudici europei come strumento per riaffermare il primato del diritto comunitario (per garantire l’immediata applicazione delle norme dell’UE, in ossequio alla nota sentenza della Corte di Giustizia dell’Unione europea del 15 luglio 1964, causa 6/64, Costa c. Enel, ECLI:EU:C:1964:66), differendo così sensibilmente dalla versione originaria, che prevedeva all’allora art. 4 TCE in modo assai vago un generico dovere positivo di facere, secondo il quale «</w:t>
      </w:r>
      <w:r w:rsidRPr="00156101">
        <w:rPr>
          <w:rFonts w:ascii="Garamond" w:hAnsi="Garamond"/>
          <w:color w:val="000000" w:themeColor="text1"/>
        </w:rPr>
        <w:t>Gli stati membri adottano tutte le misure di diritto generale e particolare per assicurare l’esecuzione di tutti gli obblighi contenuti nei trattati e facilitano l’unione nell’adempimento di tutti i suoi compiti</w:t>
      </w:r>
      <w:r w:rsidRPr="00B935F1">
        <w:rPr>
          <w:rFonts w:ascii="Garamond" w:hAnsi="Garamond"/>
          <w:color w:val="000000" w:themeColor="text1"/>
        </w:rPr>
        <w:t>» e un dovere negativo di astensione «</w:t>
      </w:r>
      <w:r w:rsidRPr="00156101">
        <w:rPr>
          <w:rFonts w:ascii="Garamond" w:hAnsi="Garamond"/>
          <w:color w:val="000000" w:themeColor="text1"/>
        </w:rPr>
        <w:t>da qualunque misura che rischi di compromettere la realizzazione degli scopi del presente trattato</w:t>
      </w:r>
      <w:r w:rsidRPr="00B935F1">
        <w:rPr>
          <w:rFonts w:ascii="Garamond" w:hAnsi="Garamond"/>
          <w:color w:val="000000" w:themeColor="text1"/>
        </w:rPr>
        <w:t xml:space="preserve">». In particolare, tale principio, secondo la Corte, sarebbe leso nel caso in cui una legge interna confliggesse con le norme europee direttamente applicabili; in tal caso, infatti, per garantire l’applicazione del diritto dell’UE, il giudice interno è chiamato a disapplicare la norma interna contrastante con il diritto comunitario. Sentenza della Corte di Giustizia dell’Unione europea, del 9 marzo 1978, causa C-106/77, Simmenthal c. Ministero delle finanze italiano. V. in particolare, a titolo esemplificativo, i contributi di </w:t>
      </w:r>
      <w:r w:rsidRPr="00B935F1">
        <w:rPr>
          <w:rFonts w:ascii="Garamond" w:hAnsi="Garamond"/>
          <w:smallCaps/>
          <w:color w:val="000000" w:themeColor="text1"/>
        </w:rPr>
        <w:t>A. Franchini</w:t>
      </w:r>
      <w:r w:rsidRPr="00B935F1">
        <w:rPr>
          <w:rFonts w:ascii="Garamond" w:hAnsi="Garamond"/>
          <w:color w:val="000000" w:themeColor="text1"/>
        </w:rPr>
        <w:t xml:space="preserve">, </w:t>
      </w:r>
      <w:r w:rsidRPr="00B935F1">
        <w:rPr>
          <w:rFonts w:ascii="Garamond" w:hAnsi="Garamond"/>
          <w:i/>
          <w:color w:val="000000" w:themeColor="text1"/>
        </w:rPr>
        <w:t>Il diritto comunitario tra Corte di giustizia e Corte Costituzionale</w:t>
      </w:r>
      <w:r w:rsidRPr="00B935F1">
        <w:rPr>
          <w:rFonts w:ascii="Garamond" w:hAnsi="Garamond"/>
          <w:color w:val="000000" w:themeColor="text1"/>
        </w:rPr>
        <w:t xml:space="preserve">, in </w:t>
      </w:r>
      <w:r w:rsidRPr="00B935F1">
        <w:rPr>
          <w:rFonts w:ascii="Garamond" w:hAnsi="Garamond"/>
          <w:i/>
          <w:color w:val="000000" w:themeColor="text1"/>
        </w:rPr>
        <w:t>Giustizia civile</w:t>
      </w:r>
      <w:r w:rsidRPr="00B935F1">
        <w:rPr>
          <w:rFonts w:ascii="Garamond" w:hAnsi="Garamond"/>
          <w:color w:val="000000" w:themeColor="text1"/>
        </w:rPr>
        <w:t xml:space="preserve">, 1978, pp. 116-125. </w:t>
      </w:r>
      <w:r w:rsidRPr="00B935F1">
        <w:rPr>
          <w:rFonts w:ascii="Garamond" w:hAnsi="Garamond"/>
          <w:smallCaps/>
          <w:color w:val="000000" w:themeColor="text1"/>
        </w:rPr>
        <w:t>F. Capelli</w:t>
      </w:r>
      <w:r w:rsidRPr="00B935F1">
        <w:rPr>
          <w:rFonts w:ascii="Garamond" w:hAnsi="Garamond"/>
          <w:color w:val="000000" w:themeColor="text1"/>
        </w:rPr>
        <w:t xml:space="preserve">, </w:t>
      </w:r>
      <w:r w:rsidRPr="00B935F1">
        <w:rPr>
          <w:rFonts w:ascii="Garamond" w:hAnsi="Garamond"/>
          <w:i/>
          <w:color w:val="000000" w:themeColor="text1"/>
        </w:rPr>
        <w:t>Conflitto fra Corte di giustizia di Lussemburgo e Corte costituzionale italiana</w:t>
      </w:r>
      <w:r w:rsidRPr="00B935F1">
        <w:rPr>
          <w:rFonts w:ascii="Garamond" w:hAnsi="Garamond"/>
          <w:color w:val="000000" w:themeColor="text1"/>
        </w:rPr>
        <w:t xml:space="preserve">, in </w:t>
      </w:r>
      <w:r w:rsidRPr="00B935F1">
        <w:rPr>
          <w:rFonts w:ascii="Garamond" w:hAnsi="Garamond"/>
          <w:i/>
          <w:color w:val="000000" w:themeColor="text1"/>
        </w:rPr>
        <w:t>Diritto comunitario e degli scambi internazionali</w:t>
      </w:r>
      <w:r w:rsidRPr="00B935F1">
        <w:rPr>
          <w:rFonts w:ascii="Garamond" w:hAnsi="Garamond"/>
          <w:color w:val="000000" w:themeColor="text1"/>
        </w:rPr>
        <w:t>, 1978, pp. 289-294</w:t>
      </w:r>
      <w:r w:rsidR="002D4C9B">
        <w:rPr>
          <w:rFonts w:ascii="Garamond" w:hAnsi="Garamond"/>
          <w:color w:val="000000" w:themeColor="text1"/>
        </w:rPr>
        <w:t>;</w:t>
      </w:r>
      <w:r w:rsidRPr="00B935F1">
        <w:rPr>
          <w:rFonts w:ascii="Garamond" w:hAnsi="Garamond"/>
          <w:color w:val="000000" w:themeColor="text1"/>
        </w:rPr>
        <w:t xml:space="preserve"> </w:t>
      </w:r>
      <w:r w:rsidRPr="00B935F1">
        <w:rPr>
          <w:rFonts w:ascii="Garamond" w:hAnsi="Garamond"/>
          <w:smallCaps/>
          <w:color w:val="000000" w:themeColor="text1"/>
        </w:rPr>
        <w:t>M. Berri</w:t>
      </w:r>
      <w:r w:rsidRPr="00B935F1">
        <w:rPr>
          <w:rFonts w:ascii="Garamond" w:hAnsi="Garamond"/>
          <w:color w:val="000000" w:themeColor="text1"/>
        </w:rPr>
        <w:t xml:space="preserve">, </w:t>
      </w:r>
      <w:r w:rsidRPr="00B935F1">
        <w:rPr>
          <w:rFonts w:ascii="Garamond" w:hAnsi="Garamond"/>
          <w:i/>
          <w:color w:val="000000" w:themeColor="text1"/>
        </w:rPr>
        <w:t>Necessità di comporre l'attuale contrasto tra Corte costituzionale e Corte di giustizia delle Comunità europee</w:t>
      </w:r>
      <w:r w:rsidRPr="00B935F1">
        <w:rPr>
          <w:rFonts w:ascii="Garamond" w:hAnsi="Garamond"/>
          <w:color w:val="000000" w:themeColor="text1"/>
        </w:rPr>
        <w:t xml:space="preserve">, </w:t>
      </w:r>
      <w:r w:rsidRPr="00B935F1">
        <w:rPr>
          <w:rFonts w:ascii="Garamond" w:hAnsi="Garamond"/>
          <w:i/>
          <w:color w:val="000000" w:themeColor="text1"/>
        </w:rPr>
        <w:t>Il primato del diritto comunitario e i giudici italiani</w:t>
      </w:r>
      <w:r w:rsidRPr="00B935F1">
        <w:rPr>
          <w:rFonts w:ascii="Garamond" w:hAnsi="Garamond"/>
          <w:color w:val="000000" w:themeColor="text1"/>
        </w:rPr>
        <w:t>, Milano, 1978, pp. 75-81.</w:t>
      </w:r>
    </w:p>
  </w:footnote>
  <w:footnote w:id="19">
    <w:p w14:paraId="0B4F28A1" w14:textId="1FE05209"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Una di queste, trova la massima espressione nell’attuale Regolamento Sanitario Internazionale, adottato dalla cinquantottesima Assemblea mondiale della Sanità il 23 maggio del 2005 ed entrato in vigore il 15 giugno del 2007 (</w:t>
      </w:r>
      <w:r w:rsidRPr="00B935F1">
        <w:rPr>
          <w:rFonts w:ascii="Garamond" w:hAnsi="Garamond"/>
          <w:i/>
          <w:color w:val="000000" w:themeColor="text1"/>
        </w:rPr>
        <w:t xml:space="preserve">International Health </w:t>
      </w:r>
      <w:proofErr w:type="spellStart"/>
      <w:r w:rsidRPr="00B935F1">
        <w:rPr>
          <w:rFonts w:ascii="Garamond" w:hAnsi="Garamond"/>
          <w:i/>
          <w:color w:val="000000" w:themeColor="text1"/>
        </w:rPr>
        <w:t>Regulations</w:t>
      </w:r>
      <w:proofErr w:type="spellEnd"/>
      <w:r w:rsidRPr="00B935F1">
        <w:rPr>
          <w:rFonts w:ascii="Garamond" w:hAnsi="Garamond"/>
          <w:i/>
          <w:color w:val="000000" w:themeColor="text1"/>
        </w:rPr>
        <w:t xml:space="preserve">, second </w:t>
      </w:r>
      <w:proofErr w:type="spellStart"/>
      <w:r w:rsidRPr="00B935F1">
        <w:rPr>
          <w:rFonts w:ascii="Garamond" w:hAnsi="Garamond"/>
          <w:i/>
          <w:color w:val="000000" w:themeColor="text1"/>
        </w:rPr>
        <w:t>edition</w:t>
      </w:r>
      <w:proofErr w:type="spellEnd"/>
      <w:r w:rsidRPr="00B935F1">
        <w:rPr>
          <w:rFonts w:ascii="Garamond" w:hAnsi="Garamond"/>
          <w:i/>
          <w:color w:val="000000" w:themeColor="text1"/>
        </w:rPr>
        <w:t>, 2005,</w:t>
      </w:r>
      <w:r w:rsidRPr="00B935F1">
        <w:rPr>
          <w:rFonts w:ascii="Garamond" w:hAnsi="Garamond"/>
          <w:color w:val="000000" w:themeColor="text1"/>
        </w:rPr>
        <w:t xml:space="preserve"> https://www.who.int/publications/i/item/9789241580410). Efficace sul punto l’analisi di </w:t>
      </w:r>
      <w:r w:rsidRPr="00B935F1">
        <w:rPr>
          <w:rFonts w:ascii="Garamond" w:hAnsi="Garamond"/>
          <w:smallCaps/>
          <w:color w:val="000000" w:themeColor="text1"/>
        </w:rPr>
        <w:t>D. Greco</w:t>
      </w:r>
      <w:r w:rsidRPr="00B935F1">
        <w:rPr>
          <w:rFonts w:ascii="Garamond" w:hAnsi="Garamond"/>
          <w:color w:val="000000" w:themeColor="text1"/>
        </w:rPr>
        <w:t xml:space="preserve">, </w:t>
      </w:r>
      <w:r w:rsidRPr="00B935F1">
        <w:rPr>
          <w:rFonts w:ascii="Garamond" w:hAnsi="Garamond"/>
          <w:i/>
          <w:color w:val="000000" w:themeColor="text1"/>
        </w:rPr>
        <w:t>L’organizzazione mondiale della sanità davanti alla pandemia di Covid-19. La governance delle emergenze sanitarie internazionali</w:t>
      </w:r>
      <w:r w:rsidRPr="00B935F1">
        <w:rPr>
          <w:rFonts w:ascii="Garamond" w:hAnsi="Garamond"/>
          <w:color w:val="000000" w:themeColor="text1"/>
        </w:rPr>
        <w:t>, Firenze, 2022, p. 278.</w:t>
      </w:r>
    </w:p>
  </w:footnote>
  <w:footnote w:id="20">
    <w:p w14:paraId="76D64D5A" w14:textId="1E8B87EE"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V. anche </w:t>
      </w:r>
      <w:r w:rsidRPr="00B935F1">
        <w:rPr>
          <w:rFonts w:ascii="Garamond" w:hAnsi="Garamond"/>
          <w:smallCaps/>
          <w:color w:val="000000" w:themeColor="text1"/>
        </w:rPr>
        <w:t>A. Meniconi</w:t>
      </w:r>
      <w:r w:rsidRPr="00B935F1">
        <w:rPr>
          <w:rFonts w:ascii="Garamond" w:hAnsi="Garamond"/>
          <w:color w:val="000000" w:themeColor="text1"/>
        </w:rPr>
        <w:t xml:space="preserve">, </w:t>
      </w:r>
      <w:r w:rsidRPr="00B935F1">
        <w:rPr>
          <w:rFonts w:ascii="Garamond" w:hAnsi="Garamond"/>
          <w:i/>
          <w:color w:val="000000" w:themeColor="text1"/>
        </w:rPr>
        <w:t xml:space="preserve">La Protezione Civile europea (parte I): il Meccanismo </w:t>
      </w:r>
      <w:proofErr w:type="spellStart"/>
      <w:r w:rsidRPr="00B935F1">
        <w:rPr>
          <w:rFonts w:ascii="Garamond" w:hAnsi="Garamond"/>
          <w:i/>
          <w:color w:val="000000" w:themeColor="text1"/>
        </w:rPr>
        <w:t>Unionale</w:t>
      </w:r>
      <w:proofErr w:type="spellEnd"/>
      <w:r w:rsidRPr="00B935F1">
        <w:rPr>
          <w:rFonts w:ascii="Garamond" w:hAnsi="Garamond"/>
          <w:i/>
          <w:color w:val="000000" w:themeColor="text1"/>
        </w:rPr>
        <w:t xml:space="preserve"> del 2013</w:t>
      </w:r>
      <w:r w:rsidRPr="00B935F1">
        <w:rPr>
          <w:rFonts w:ascii="Garamond" w:hAnsi="Garamond"/>
          <w:color w:val="000000" w:themeColor="text1"/>
        </w:rPr>
        <w:t xml:space="preserve">, in </w:t>
      </w:r>
      <w:proofErr w:type="spellStart"/>
      <w:r w:rsidRPr="00B935F1">
        <w:rPr>
          <w:rFonts w:ascii="Garamond" w:hAnsi="Garamond"/>
          <w:i/>
          <w:color w:val="000000" w:themeColor="text1"/>
        </w:rPr>
        <w:t>Iusinitinere</w:t>
      </w:r>
      <w:proofErr w:type="spellEnd"/>
      <w:r w:rsidRPr="00B935F1">
        <w:rPr>
          <w:rFonts w:ascii="Garamond" w:hAnsi="Garamond"/>
          <w:color w:val="000000" w:themeColor="text1"/>
        </w:rPr>
        <w:t xml:space="preserve">, 2021. Che precisa come i Paesi membri dell’UE, a seguito del disastro di Chernobyl, abbiano avvertito la necessità di affrontare “comunitariamente” le gravi minacce alla salute e alla sicurezza europea con potenziali ripercussioni transfrontaliere. </w:t>
      </w:r>
    </w:p>
  </w:footnote>
  <w:footnote w:id="21">
    <w:p w14:paraId="16625DA0" w14:textId="6BF46D52"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Articolo 168 comma 1, TFUE (GUUE C- 326/47 del 26.10.2012, p.</w:t>
      </w:r>
      <w:r w:rsidR="00081BFD" w:rsidRPr="00B935F1">
        <w:rPr>
          <w:rFonts w:ascii="Garamond" w:hAnsi="Garamond"/>
          <w:color w:val="000000" w:themeColor="text1"/>
        </w:rPr>
        <w:t xml:space="preserve"> </w:t>
      </w:r>
      <w:r w:rsidRPr="00B935F1">
        <w:rPr>
          <w:rFonts w:ascii="Garamond" w:hAnsi="Garamond"/>
          <w:color w:val="000000" w:themeColor="text1"/>
        </w:rPr>
        <w:t>76).</w:t>
      </w:r>
    </w:p>
  </w:footnote>
  <w:footnote w:id="22">
    <w:p w14:paraId="56AE7434"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Articolo 4 comma 2, lett. k), TFUE.</w:t>
      </w:r>
    </w:p>
  </w:footnote>
  <w:footnote w:id="23">
    <w:p w14:paraId="7DACC7C1"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Articolo 168, comma cit.</w:t>
      </w:r>
    </w:p>
  </w:footnote>
  <w:footnote w:id="24">
    <w:p w14:paraId="68782149"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Articolo 168, comma 5, TFUE.</w:t>
      </w:r>
    </w:p>
  </w:footnote>
  <w:footnote w:id="25">
    <w:p w14:paraId="63A1D631" w14:textId="251A0B7C"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i/>
          <w:color w:val="000000" w:themeColor="text1"/>
        </w:rPr>
        <w:t>In primis</w:t>
      </w:r>
      <w:r w:rsidRPr="00B935F1">
        <w:rPr>
          <w:rFonts w:ascii="Garamond" w:hAnsi="Garamond"/>
          <w:color w:val="000000" w:themeColor="text1"/>
        </w:rPr>
        <w:t xml:space="preserve">, l’Italia: primo paese più colpito della zona europea dal SARS-COV-2, il cui esecutivo, il 9 marzo 2020, si è trovato costretto ad adottare un </w:t>
      </w:r>
      <w:r w:rsidRPr="00B935F1">
        <w:rPr>
          <w:rFonts w:ascii="Garamond" w:hAnsi="Garamond"/>
          <w:i/>
          <w:color w:val="000000" w:themeColor="text1"/>
        </w:rPr>
        <w:t>lockdown</w:t>
      </w:r>
      <w:r w:rsidRPr="00B935F1">
        <w:rPr>
          <w:rFonts w:ascii="Garamond" w:hAnsi="Garamond"/>
          <w:color w:val="000000" w:themeColor="text1"/>
        </w:rPr>
        <w:t xml:space="preserve"> esteso a tutto il territorio nazionale per contrastare la diffusione del patogeno. Decreto del Presidente del Consiglio dei ministri del 9 marzo 2020, rubricato «</w:t>
      </w:r>
      <w:r w:rsidRPr="00156101">
        <w:rPr>
          <w:rFonts w:ascii="Garamond" w:hAnsi="Garamond"/>
          <w:color w:val="000000" w:themeColor="text1"/>
        </w:rPr>
        <w:t>Ulteriori disposizioni attuative del decreto-legge 23 febbraio 2020, n. 6, recante misure urgenti in materia di contenimento e gestione dell’emergenza epidemiologica da COVID-19, applicabili sull’intero territorio nazionale</w:t>
      </w:r>
      <w:r w:rsidRPr="00B935F1">
        <w:rPr>
          <w:rFonts w:ascii="Garamond" w:hAnsi="Garamond"/>
          <w:color w:val="000000" w:themeColor="text1"/>
        </w:rPr>
        <w:t>» (GU</w:t>
      </w:r>
      <w:r w:rsidR="002D4C9B">
        <w:rPr>
          <w:rFonts w:ascii="Garamond" w:hAnsi="Garamond"/>
          <w:color w:val="000000" w:themeColor="text1"/>
        </w:rPr>
        <w:t>RI</w:t>
      </w:r>
      <w:r w:rsidRPr="00B935F1">
        <w:rPr>
          <w:rFonts w:ascii="Garamond" w:hAnsi="Garamond"/>
          <w:color w:val="000000" w:themeColor="text1"/>
        </w:rPr>
        <w:t xml:space="preserve"> n. 62 del 9-3-2020, p.</w:t>
      </w:r>
      <w:r w:rsidR="00081BFD" w:rsidRPr="00B935F1">
        <w:rPr>
          <w:rFonts w:ascii="Garamond" w:hAnsi="Garamond"/>
          <w:color w:val="000000" w:themeColor="text1"/>
        </w:rPr>
        <w:t xml:space="preserve"> </w:t>
      </w:r>
      <w:r w:rsidRPr="00B935F1">
        <w:rPr>
          <w:rFonts w:ascii="Garamond" w:hAnsi="Garamond"/>
          <w:color w:val="000000" w:themeColor="text1"/>
        </w:rPr>
        <w:t>1).</w:t>
      </w:r>
    </w:p>
  </w:footnote>
  <w:footnote w:id="26">
    <w:p w14:paraId="52A30C7D" w14:textId="3831B099"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smallCaps/>
          <w:color w:val="000000" w:themeColor="text1"/>
        </w:rPr>
        <w:t>E. Cirone</w:t>
      </w:r>
      <w:r w:rsidRPr="00B935F1">
        <w:rPr>
          <w:rFonts w:ascii="Garamond" w:hAnsi="Garamond"/>
          <w:color w:val="000000" w:themeColor="text1"/>
        </w:rPr>
        <w:t xml:space="preserve">, </w:t>
      </w:r>
      <w:r w:rsidRPr="00B935F1">
        <w:rPr>
          <w:rFonts w:ascii="Garamond" w:hAnsi="Garamond"/>
          <w:i/>
          <w:color w:val="000000" w:themeColor="text1"/>
        </w:rPr>
        <w:t>Le fonti del diritto dell’Unione in materia di salute pubblica alla prova dell’emergenza sanitaria: alcune riflessioni sulle misure di contrasto della pandemia e sul “Certificato digitale COVID-19 UE”</w:t>
      </w:r>
      <w:r w:rsidRPr="00B935F1">
        <w:rPr>
          <w:rFonts w:ascii="Garamond" w:hAnsi="Garamond"/>
          <w:color w:val="000000" w:themeColor="text1"/>
        </w:rPr>
        <w:t xml:space="preserve">, in </w:t>
      </w:r>
      <w:r w:rsidRPr="00B935F1">
        <w:rPr>
          <w:rFonts w:ascii="Garamond" w:hAnsi="Garamond"/>
          <w:i/>
          <w:color w:val="000000" w:themeColor="text1"/>
        </w:rPr>
        <w:t>Osservatorio sulle fonti</w:t>
      </w:r>
      <w:r w:rsidRPr="00B935F1">
        <w:rPr>
          <w:rFonts w:ascii="Garamond" w:hAnsi="Garamond"/>
          <w:color w:val="000000" w:themeColor="text1"/>
        </w:rPr>
        <w:t>, 2021, p. 656 e ss.</w:t>
      </w:r>
    </w:p>
  </w:footnote>
  <w:footnote w:id="27">
    <w:p w14:paraId="5422E675" w14:textId="73A548AC"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Regolamento (UE) 953/2021 del Parlamento europeo e del Consiglio, par</w:t>
      </w:r>
      <w:r w:rsidR="002D4C9B">
        <w:rPr>
          <w:rFonts w:ascii="Garamond" w:hAnsi="Garamond"/>
          <w:color w:val="000000" w:themeColor="text1"/>
        </w:rPr>
        <w:t>.</w:t>
      </w:r>
      <w:r w:rsidRPr="00B935F1">
        <w:rPr>
          <w:rFonts w:ascii="Garamond" w:hAnsi="Garamond"/>
          <w:color w:val="000000" w:themeColor="text1"/>
        </w:rPr>
        <w:t xml:space="preserve"> 63, cit.</w:t>
      </w:r>
    </w:p>
  </w:footnote>
  <w:footnote w:id="28">
    <w:p w14:paraId="59F0088B" w14:textId="25BD4FF5"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Nella specie, la Commissione europea, a fronte del rapidissimo aumento dei contagi nel continente, aveva sollecitato il Parlamento e il Consiglio europeo, con un atto di </w:t>
      </w:r>
      <w:r w:rsidRPr="00B935F1">
        <w:rPr>
          <w:rFonts w:ascii="Garamond" w:hAnsi="Garamond"/>
          <w:i/>
          <w:color w:val="000000" w:themeColor="text1"/>
        </w:rPr>
        <w:t>soft law</w:t>
      </w:r>
      <w:r w:rsidRPr="00B935F1">
        <w:rPr>
          <w:rFonts w:ascii="Garamond" w:hAnsi="Garamond"/>
          <w:color w:val="000000" w:themeColor="text1"/>
        </w:rPr>
        <w:t xml:space="preserve">, a provvedere per rendere effettiva la sospensione dell’accordo di Schengen, poi, avvenuta. </w:t>
      </w:r>
      <w:r w:rsidRPr="00156101">
        <w:rPr>
          <w:rFonts w:ascii="Garamond" w:hAnsi="Garamond"/>
          <w:iCs/>
          <w:color w:val="000000" w:themeColor="text1"/>
        </w:rPr>
        <w:t>Comunicazione della Commissione covid-19: restrizione temporanea dei viaggi non essenziali verso l'UE</w:t>
      </w:r>
      <w:r w:rsidRPr="00B935F1">
        <w:rPr>
          <w:rFonts w:ascii="Garamond" w:hAnsi="Garamond"/>
          <w:i/>
          <w:iCs/>
          <w:color w:val="000000" w:themeColor="text1"/>
        </w:rPr>
        <w:t xml:space="preserve">, </w:t>
      </w:r>
      <w:r w:rsidRPr="00B935F1">
        <w:rPr>
          <w:rFonts w:ascii="Garamond" w:hAnsi="Garamond"/>
          <w:color w:val="000000" w:themeColor="text1"/>
        </w:rPr>
        <w:t xml:space="preserve">in </w:t>
      </w:r>
      <w:proofErr w:type="spellStart"/>
      <w:r w:rsidRPr="00B935F1">
        <w:rPr>
          <w:rFonts w:ascii="Garamond" w:hAnsi="Garamond"/>
          <w:i/>
          <w:iCs/>
          <w:color w:val="000000" w:themeColor="text1"/>
        </w:rPr>
        <w:t>Eurlex</w:t>
      </w:r>
      <w:proofErr w:type="spellEnd"/>
      <w:r w:rsidRPr="00B935F1">
        <w:rPr>
          <w:rFonts w:ascii="Garamond" w:hAnsi="Garamond"/>
          <w:color w:val="000000" w:themeColor="text1"/>
        </w:rPr>
        <w:t xml:space="preserve">, 2020, </w:t>
      </w:r>
      <w:hyperlink r:id="rId15" w:history="1">
        <w:r w:rsidRPr="00B935F1">
          <w:rPr>
            <w:rStyle w:val="Collegamentoipertestuale"/>
            <w:rFonts w:ascii="Garamond" w:hAnsi="Garamond"/>
            <w:color w:val="000000" w:themeColor="text1"/>
            <w:u w:val="none"/>
          </w:rPr>
          <w:t>https://eur-lex.europa.eu/legal-content/IT/TXT/PDF/?uri=CELEX:52020DC0115&amp;from=IT</w:t>
        </w:r>
      </w:hyperlink>
      <w:r w:rsidRPr="00B935F1">
        <w:rPr>
          <w:rFonts w:ascii="Garamond" w:hAnsi="Garamond"/>
          <w:color w:val="000000" w:themeColor="text1"/>
        </w:rPr>
        <w:t xml:space="preserve">. </w:t>
      </w:r>
      <w:r w:rsidRPr="00B935F1">
        <w:rPr>
          <w:rFonts w:ascii="Garamond" w:hAnsi="Garamond"/>
          <w:i/>
          <w:iCs/>
          <w:color w:val="000000" w:themeColor="text1"/>
        </w:rPr>
        <w:t xml:space="preserve">Orientamenti relativi alle misure per la gestione delle frontiere destinate a tutelare la salute e garantire la disponibilità di beni e servizi essenziali, </w:t>
      </w:r>
      <w:r w:rsidRPr="00B935F1">
        <w:rPr>
          <w:rFonts w:ascii="Garamond" w:hAnsi="Garamond"/>
          <w:color w:val="000000" w:themeColor="text1"/>
        </w:rPr>
        <w:t xml:space="preserve">in </w:t>
      </w:r>
      <w:r w:rsidRPr="00B935F1">
        <w:rPr>
          <w:rFonts w:ascii="Garamond" w:hAnsi="Garamond"/>
          <w:i/>
          <w:iCs/>
          <w:color w:val="000000" w:themeColor="text1"/>
        </w:rPr>
        <w:t>Eur-</w:t>
      </w:r>
      <w:proofErr w:type="spellStart"/>
      <w:r w:rsidRPr="00B935F1">
        <w:rPr>
          <w:rFonts w:ascii="Garamond" w:hAnsi="Garamond"/>
          <w:i/>
          <w:iCs/>
          <w:color w:val="000000" w:themeColor="text1"/>
        </w:rPr>
        <w:t>lex</w:t>
      </w:r>
      <w:proofErr w:type="spellEnd"/>
      <w:r w:rsidRPr="00B935F1">
        <w:rPr>
          <w:rFonts w:ascii="Garamond" w:hAnsi="Garamond"/>
          <w:i/>
          <w:iCs/>
          <w:color w:val="000000" w:themeColor="text1"/>
        </w:rPr>
        <w:t xml:space="preserve"> </w:t>
      </w:r>
      <w:proofErr w:type="spellStart"/>
      <w:r w:rsidRPr="00B935F1">
        <w:rPr>
          <w:rFonts w:ascii="Garamond" w:hAnsi="Garamond"/>
          <w:color w:val="000000" w:themeColor="text1"/>
        </w:rPr>
        <w:t>europa</w:t>
      </w:r>
      <w:proofErr w:type="spellEnd"/>
      <w:r w:rsidRPr="00B935F1">
        <w:rPr>
          <w:rFonts w:ascii="Garamond" w:hAnsi="Garamond"/>
          <w:color w:val="000000" w:themeColor="text1"/>
        </w:rPr>
        <w:t xml:space="preserve">, 16 marzo 2020, </w:t>
      </w:r>
      <w:hyperlink r:id="rId16" w:history="1">
        <w:r w:rsidRPr="00B935F1">
          <w:rPr>
            <w:rStyle w:val="Collegamentoipertestuale"/>
            <w:rFonts w:ascii="Garamond" w:hAnsi="Garamond"/>
            <w:color w:val="000000" w:themeColor="text1"/>
            <w:u w:val="none"/>
          </w:rPr>
          <w:t>https://eur-lex.europa.eu/legal-content/IT/TXT/PDF/?uri=CELEX:52020XC0316(03)&amp;from=IT</w:t>
        </w:r>
      </w:hyperlink>
      <w:r w:rsidRPr="00B935F1">
        <w:rPr>
          <w:rFonts w:ascii="Garamond" w:hAnsi="Garamond"/>
          <w:color w:val="000000" w:themeColor="text1"/>
        </w:rPr>
        <w:t xml:space="preserve">.  </w:t>
      </w:r>
    </w:p>
    <w:p w14:paraId="6884A7DE" w14:textId="77777777" w:rsidR="006B1761" w:rsidRPr="00B935F1" w:rsidRDefault="006B1761" w:rsidP="00B67169">
      <w:pPr>
        <w:pStyle w:val="Testonotaapidipagina"/>
        <w:jc w:val="both"/>
        <w:rPr>
          <w:rFonts w:ascii="Garamond" w:hAnsi="Garamond"/>
          <w:color w:val="000000" w:themeColor="text1"/>
        </w:rPr>
      </w:pPr>
      <w:r w:rsidRPr="00B935F1">
        <w:rPr>
          <w:rFonts w:ascii="Garamond" w:hAnsi="Garamond"/>
          <w:i/>
          <w:color w:val="000000" w:themeColor="text1"/>
        </w:rPr>
        <w:t>Conclusioni del Presidente del Consiglio europeo a seguito della videoconferenza con i membri del Consiglio europeo sulla COVID-19</w:t>
      </w:r>
      <w:r w:rsidRPr="00B935F1">
        <w:rPr>
          <w:rFonts w:ascii="Garamond" w:hAnsi="Garamond"/>
          <w:color w:val="000000" w:themeColor="text1"/>
        </w:rPr>
        <w:t xml:space="preserve">, 17 marzo 2020, </w:t>
      </w:r>
      <w:hyperlink r:id="rId17" w:history="1">
        <w:r w:rsidRPr="00B935F1">
          <w:rPr>
            <w:rStyle w:val="Collegamentoipertestuale"/>
            <w:rFonts w:ascii="Garamond" w:hAnsi="Garamond"/>
            <w:color w:val="000000" w:themeColor="text1"/>
            <w:u w:val="none"/>
          </w:rPr>
          <w:t>https://www.consilium.europa.eu/it/press/press-releases/2020/03/17/conclusions-by-the-president-of-the-european-council-following-the-video-conference-with-members-of-the-european-council-on-covid-19/</w:t>
        </w:r>
      </w:hyperlink>
      <w:r w:rsidRPr="00B935F1">
        <w:rPr>
          <w:rFonts w:ascii="Garamond" w:hAnsi="Garamond"/>
          <w:color w:val="000000" w:themeColor="text1"/>
        </w:rPr>
        <w:t>.</w:t>
      </w:r>
    </w:p>
  </w:footnote>
  <w:footnote w:id="29">
    <w:p w14:paraId="4428D4A7" w14:textId="0137182D"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V., in </w:t>
      </w:r>
      <w:proofErr w:type="spellStart"/>
      <w:r w:rsidRPr="00B935F1">
        <w:rPr>
          <w:rFonts w:ascii="Garamond" w:hAnsi="Garamond"/>
          <w:color w:val="000000" w:themeColor="text1"/>
          <w:lang w:val="en-US"/>
        </w:rPr>
        <w:t>particolare</w:t>
      </w:r>
      <w:proofErr w:type="spellEnd"/>
      <w:r w:rsidRPr="00B935F1">
        <w:rPr>
          <w:rFonts w:ascii="Garamond" w:hAnsi="Garamond"/>
          <w:color w:val="000000" w:themeColor="text1"/>
          <w:lang w:val="en-US"/>
        </w:rPr>
        <w:t xml:space="preserve"> </w:t>
      </w:r>
      <w:r w:rsidRPr="00B935F1">
        <w:rPr>
          <w:rFonts w:ascii="Garamond" w:hAnsi="Garamond"/>
          <w:smallCaps/>
          <w:color w:val="000000" w:themeColor="text1"/>
          <w:lang w:val="en-US"/>
        </w:rPr>
        <w:t xml:space="preserve">D. </w:t>
      </w:r>
      <w:proofErr w:type="spellStart"/>
      <w:r w:rsidRPr="00B935F1">
        <w:rPr>
          <w:rFonts w:ascii="Garamond" w:hAnsi="Garamond"/>
          <w:smallCaps/>
          <w:color w:val="000000" w:themeColor="text1"/>
          <w:lang w:val="en-US"/>
        </w:rPr>
        <w:t>Kochenov</w:t>
      </w:r>
      <w:proofErr w:type="spellEnd"/>
      <w:r w:rsidRPr="00B935F1">
        <w:rPr>
          <w:rFonts w:ascii="Garamond" w:hAnsi="Garamond"/>
          <w:color w:val="000000" w:themeColor="text1"/>
          <w:lang w:val="en-US"/>
        </w:rPr>
        <w:t xml:space="preserve">, </w:t>
      </w:r>
      <w:r w:rsidRPr="00B935F1">
        <w:rPr>
          <w:rFonts w:ascii="Garamond" w:hAnsi="Garamond"/>
          <w:i/>
          <w:color w:val="000000" w:themeColor="text1"/>
          <w:lang w:val="en-US"/>
        </w:rPr>
        <w:t xml:space="preserve">Ending the passport </w:t>
      </w:r>
      <w:proofErr w:type="spellStart"/>
      <w:r w:rsidRPr="00B935F1">
        <w:rPr>
          <w:rFonts w:ascii="Garamond" w:hAnsi="Garamond"/>
          <w:i/>
          <w:color w:val="000000" w:themeColor="text1"/>
          <w:lang w:val="en-US"/>
        </w:rPr>
        <w:t>apatheid</w:t>
      </w:r>
      <w:proofErr w:type="spellEnd"/>
      <w:r w:rsidRPr="00B935F1">
        <w:rPr>
          <w:rFonts w:ascii="Garamond" w:hAnsi="Garamond"/>
          <w:i/>
          <w:color w:val="000000" w:themeColor="text1"/>
          <w:lang w:val="en-US"/>
        </w:rPr>
        <w:t>. The alternative to citizenship is no citizenship – a reply</w:t>
      </w:r>
      <w:r w:rsidRPr="00B935F1">
        <w:rPr>
          <w:rFonts w:ascii="Garamond" w:hAnsi="Garamond"/>
          <w:color w:val="000000" w:themeColor="text1"/>
          <w:lang w:val="en-US"/>
        </w:rPr>
        <w:t xml:space="preserve">, in </w:t>
      </w:r>
      <w:r w:rsidRPr="00B935F1">
        <w:rPr>
          <w:rFonts w:ascii="Garamond" w:hAnsi="Garamond"/>
          <w:i/>
          <w:color w:val="000000" w:themeColor="text1"/>
          <w:lang w:val="en-US"/>
        </w:rPr>
        <w:t xml:space="preserve">Int. </w:t>
      </w:r>
      <w:r w:rsidRPr="00B935F1">
        <w:rPr>
          <w:rFonts w:ascii="Garamond" w:hAnsi="Garamond"/>
          <w:i/>
          <w:color w:val="000000" w:themeColor="text1"/>
        </w:rPr>
        <w:t>Jour. Const. Law</w:t>
      </w:r>
      <w:r w:rsidRPr="00B935F1">
        <w:rPr>
          <w:rFonts w:ascii="Garamond" w:hAnsi="Garamond"/>
          <w:color w:val="000000" w:themeColor="text1"/>
        </w:rPr>
        <w:t xml:space="preserve">., 2020, p. 1525 e ss. </w:t>
      </w:r>
    </w:p>
  </w:footnote>
  <w:footnote w:id="30">
    <w:p w14:paraId="6D72DECF" w14:textId="7766DB25"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smallCaps/>
          <w:color w:val="000000" w:themeColor="text1"/>
        </w:rPr>
        <w:t>R. Bin</w:t>
      </w:r>
      <w:r w:rsidRPr="00B935F1">
        <w:rPr>
          <w:rFonts w:ascii="Garamond" w:hAnsi="Garamond"/>
          <w:color w:val="000000" w:themeColor="text1"/>
        </w:rPr>
        <w:t xml:space="preserve">, </w:t>
      </w:r>
      <w:r w:rsidRPr="00B935F1">
        <w:rPr>
          <w:rFonts w:ascii="Garamond" w:hAnsi="Garamond"/>
          <w:i/>
          <w:color w:val="000000" w:themeColor="text1"/>
        </w:rPr>
        <w:t>Sul dovere costituzionale e comunitario di disapplicazione del c.d. decreto Green pass</w:t>
      </w:r>
      <w:r w:rsidRPr="00B935F1">
        <w:rPr>
          <w:rFonts w:ascii="Garamond" w:hAnsi="Garamond"/>
          <w:color w:val="000000" w:themeColor="text1"/>
        </w:rPr>
        <w:t xml:space="preserve">, in </w:t>
      </w:r>
      <w:r w:rsidRPr="00B935F1">
        <w:rPr>
          <w:rFonts w:ascii="Garamond" w:hAnsi="Garamond"/>
          <w:i/>
          <w:color w:val="000000" w:themeColor="text1"/>
        </w:rPr>
        <w:t>La Costituzione.info</w:t>
      </w:r>
      <w:r w:rsidRPr="00B935F1">
        <w:rPr>
          <w:rFonts w:ascii="Garamond" w:hAnsi="Garamond"/>
          <w:color w:val="000000" w:themeColor="text1"/>
        </w:rPr>
        <w:t xml:space="preserve">, 9 agosto 2021, </w:t>
      </w:r>
      <w:hyperlink r:id="rId18" w:history="1">
        <w:r w:rsidRPr="00B935F1">
          <w:rPr>
            <w:rStyle w:val="Collegamentoipertestuale"/>
            <w:rFonts w:ascii="Garamond" w:hAnsi="Garamond"/>
            <w:color w:val="000000" w:themeColor="text1"/>
            <w:u w:val="none"/>
          </w:rPr>
          <w:t>https://www.lacostituzione.info/index.php/2021/08/09/replica-al-documento-anti-green-pass-pubblicato-da-questione-giustizia/</w:t>
        </w:r>
      </w:hyperlink>
      <w:r w:rsidRPr="00B935F1">
        <w:rPr>
          <w:rFonts w:ascii="Garamond" w:hAnsi="Garamond"/>
          <w:color w:val="000000" w:themeColor="text1"/>
        </w:rPr>
        <w:t xml:space="preserve">.   </w:t>
      </w:r>
    </w:p>
  </w:footnote>
  <w:footnote w:id="31">
    <w:p w14:paraId="6ADAAABA" w14:textId="470B8DD9"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L’azione dell’UE, infatti, può acquisire un «</w:t>
      </w:r>
      <w:r w:rsidRPr="00156101">
        <w:rPr>
          <w:rFonts w:ascii="Garamond" w:hAnsi="Garamond"/>
          <w:color w:val="000000" w:themeColor="text1"/>
        </w:rPr>
        <w:t>notevole valore aggiunto nell'affrontare le problematiche sopra individuate ed è l'unico modo per poter mantenere un quadro di certificato COVID-19 unico, razionale e riconosciuto</w:t>
      </w:r>
      <w:r w:rsidRPr="00B935F1">
        <w:rPr>
          <w:rFonts w:ascii="Garamond" w:hAnsi="Garamond"/>
          <w:color w:val="000000" w:themeColor="text1"/>
        </w:rPr>
        <w:t>». Proposta di Regolamento del Parlamento europeo e del Consiglio che modifica il regolamento (UE) 2021/953, cit.</w:t>
      </w:r>
    </w:p>
  </w:footnote>
  <w:footnote w:id="32">
    <w:p w14:paraId="61D48167" w14:textId="08935DAA"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61, cit.</w:t>
      </w:r>
    </w:p>
  </w:footnote>
  <w:footnote w:id="33">
    <w:p w14:paraId="3075328C" w14:textId="444FD62E"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Preambolo della Proposta, cit.</w:t>
      </w:r>
    </w:p>
  </w:footnote>
  <w:footnote w:id="34">
    <w:p w14:paraId="1B20EE71" w14:textId="11087B01"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29 regolamento, cit.</w:t>
      </w:r>
    </w:p>
  </w:footnote>
  <w:footnote w:id="35">
    <w:p w14:paraId="596826C3" w14:textId="6BFFB195"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L’art. 3, comma 5 del predetto regolamento (UE) dispone: «</w:t>
      </w:r>
      <w:r w:rsidRPr="00156101">
        <w:rPr>
          <w:rFonts w:ascii="Garamond" w:hAnsi="Garamond"/>
          <w:color w:val="000000" w:themeColor="text1"/>
        </w:rPr>
        <w:t>Nel certificato di cui al paragrafo 1</w:t>
      </w:r>
      <w:r w:rsidRPr="00B935F1">
        <w:rPr>
          <w:rFonts w:ascii="Garamond" w:hAnsi="Garamond"/>
          <w:i/>
          <w:color w:val="000000" w:themeColor="text1"/>
        </w:rPr>
        <w:t xml:space="preserve"> </w:t>
      </w:r>
      <w:r w:rsidRPr="00B935F1">
        <w:rPr>
          <w:rFonts w:ascii="Garamond" w:hAnsi="Garamond"/>
          <w:color w:val="000000" w:themeColor="text1"/>
        </w:rPr>
        <w:t>[con riferimento, cioè al certificato di vaccinazione]</w:t>
      </w:r>
      <w:r w:rsidRPr="00B935F1">
        <w:rPr>
          <w:rFonts w:ascii="Garamond" w:hAnsi="Garamond"/>
          <w:i/>
          <w:color w:val="000000" w:themeColor="text1"/>
        </w:rPr>
        <w:t xml:space="preserve"> </w:t>
      </w:r>
      <w:r w:rsidRPr="00156101">
        <w:rPr>
          <w:rFonts w:ascii="Garamond" w:hAnsi="Garamond"/>
          <w:color w:val="000000" w:themeColor="text1"/>
        </w:rPr>
        <w:t>figura il seguente testo: «Il presente certificato non è un documento di viaggio.</w:t>
      </w:r>
      <w:r w:rsidRPr="00B935F1">
        <w:rPr>
          <w:rFonts w:ascii="Garamond" w:hAnsi="Garamond"/>
          <w:i/>
          <w:color w:val="000000" w:themeColor="text1"/>
        </w:rPr>
        <w:t xml:space="preserve"> </w:t>
      </w:r>
      <w:r w:rsidRPr="00156101">
        <w:rPr>
          <w:rFonts w:ascii="Garamond" w:hAnsi="Garamond"/>
          <w:color w:val="000000" w:themeColor="text1"/>
        </w:rPr>
        <w:t>I dati scientifici relativi alla vaccinazione, ai test e alla guarigione dalla COVID-19 continuano a evolvere, anche alla luce delle nuove varianti del virus che destano preoccupazione</w:t>
      </w:r>
      <w:r w:rsidRPr="00B935F1">
        <w:rPr>
          <w:rFonts w:ascii="Garamond" w:hAnsi="Garamond"/>
          <w:color w:val="000000" w:themeColor="text1"/>
        </w:rPr>
        <w:t>».</w:t>
      </w:r>
    </w:p>
  </w:footnote>
  <w:footnote w:id="36">
    <w:p w14:paraId="0BA3EC25" w14:textId="5CDFD60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7.</w:t>
      </w:r>
    </w:p>
  </w:footnote>
  <w:footnote w:id="37">
    <w:p w14:paraId="2AA71119" w14:textId="0FE6E769"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156101">
        <w:rPr>
          <w:rFonts w:ascii="Garamond" w:hAnsi="Garamond"/>
          <w:i/>
          <w:color w:val="000000" w:themeColor="text1"/>
        </w:rPr>
        <w:t>Ivi</w:t>
      </w:r>
      <w:r w:rsidRPr="00B935F1">
        <w:rPr>
          <w:rFonts w:ascii="Garamond" w:hAnsi="Garamond"/>
          <w:color w:val="000000" w:themeColor="text1"/>
        </w:rPr>
        <w:t>.</w:t>
      </w:r>
    </w:p>
  </w:footnote>
  <w:footnote w:id="38">
    <w:p w14:paraId="6647B4C3" w14:textId="5E92153D"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Art. 11 del citato Regolamento «</w:t>
      </w:r>
      <w:r w:rsidRPr="00156101">
        <w:rPr>
          <w:rFonts w:ascii="Garamond" w:hAnsi="Garamond"/>
          <w:color w:val="000000" w:themeColor="text1"/>
        </w:rPr>
        <w:t>Fatta salva la competenza degli Stati membri di imporre restrizioni per motivi di salute pubblica, qualora accettino certificati di vaccinazione, certificati di test che attestano un risultato negativo o certificati di guarigione, gli Stati membri si astengono dall'imporre ulteriori restrizioni alla libera circolazione, quali ulteriori test in relazione ai viaggi per l'infezione da SARS-CoV-2 o la quarantena o l'autoisolamento in relazione ai viaggi, a meno che non siano necessarie e proporzionate allo scopo di tutelare la salute pubblica in risposta alla pandemia di COVID-19, anche tenendo conto delle prove scientifiche disponibili, compresi i dati epidemiologici pubblicati dall'ECDC sulla base della raccomandazione (UE) 2020/1475</w:t>
      </w:r>
      <w:r w:rsidRPr="00B935F1">
        <w:rPr>
          <w:rFonts w:ascii="Garamond" w:hAnsi="Garamond"/>
          <w:color w:val="000000" w:themeColor="text1"/>
        </w:rPr>
        <w:t>».</w:t>
      </w:r>
    </w:p>
  </w:footnote>
  <w:footnote w:id="39">
    <w:p w14:paraId="67EE7E05" w14:textId="7585877C"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14.</w:t>
      </w:r>
    </w:p>
  </w:footnote>
  <w:footnote w:id="40">
    <w:p w14:paraId="43657635" w14:textId="73D9BEBD"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156101">
        <w:rPr>
          <w:rFonts w:ascii="Garamond" w:hAnsi="Garamond"/>
          <w:i/>
          <w:color w:val="000000" w:themeColor="text1"/>
        </w:rPr>
        <w:t>Ivi</w:t>
      </w:r>
      <w:r w:rsidRPr="00B935F1">
        <w:rPr>
          <w:rFonts w:ascii="Garamond" w:hAnsi="Garamond"/>
          <w:color w:val="000000" w:themeColor="text1"/>
        </w:rPr>
        <w:t>.</w:t>
      </w:r>
    </w:p>
  </w:footnote>
  <w:footnote w:id="41">
    <w:p w14:paraId="2674BAC7" w14:textId="24AB3F08"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V. in tal senso, </w:t>
      </w:r>
      <w:r w:rsidRPr="00B935F1">
        <w:rPr>
          <w:rFonts w:ascii="Garamond" w:hAnsi="Garamond"/>
          <w:smallCaps/>
          <w:color w:val="000000" w:themeColor="text1"/>
        </w:rPr>
        <w:t>L. Brunetti</w:t>
      </w:r>
      <w:r w:rsidRPr="00B935F1">
        <w:rPr>
          <w:rFonts w:ascii="Garamond" w:hAnsi="Garamond"/>
          <w:color w:val="000000" w:themeColor="text1"/>
        </w:rPr>
        <w:t xml:space="preserve">, </w:t>
      </w:r>
      <w:r w:rsidRPr="00B935F1">
        <w:rPr>
          <w:rFonts w:ascii="Garamond" w:hAnsi="Garamond"/>
          <w:i/>
          <w:color w:val="000000" w:themeColor="text1"/>
        </w:rPr>
        <w:t>La Costituzione può obbligare, ma non costringere: sulla incostituzionalità degli attuali divieti come mezzo per incentivare la vaccinazione anti COVID-19 (cd. green pass)</w:t>
      </w:r>
      <w:r w:rsidRPr="00B935F1">
        <w:rPr>
          <w:rFonts w:ascii="Garamond" w:hAnsi="Garamond"/>
          <w:color w:val="000000" w:themeColor="text1"/>
        </w:rPr>
        <w:t xml:space="preserve">, in </w:t>
      </w:r>
      <w:r w:rsidRPr="00B935F1">
        <w:rPr>
          <w:rFonts w:ascii="Garamond" w:hAnsi="Garamond"/>
          <w:i/>
          <w:color w:val="000000" w:themeColor="text1"/>
        </w:rPr>
        <w:t>Quad Cost</w:t>
      </w:r>
      <w:r w:rsidRPr="00B935F1">
        <w:rPr>
          <w:rFonts w:ascii="Garamond" w:hAnsi="Garamond"/>
          <w:color w:val="000000" w:themeColor="text1"/>
        </w:rPr>
        <w:t xml:space="preserve">., 2021, p. 494 e ss. Sembra convergere sul punto anche l’opinione di </w:t>
      </w:r>
      <w:r w:rsidRPr="00B935F1">
        <w:rPr>
          <w:rFonts w:ascii="Garamond" w:hAnsi="Garamond"/>
          <w:smallCaps/>
          <w:color w:val="000000" w:themeColor="text1"/>
        </w:rPr>
        <w:t xml:space="preserve">G. Cerrina </w:t>
      </w:r>
      <w:proofErr w:type="spellStart"/>
      <w:r w:rsidRPr="00B935F1">
        <w:rPr>
          <w:rFonts w:ascii="Garamond" w:hAnsi="Garamond"/>
          <w:smallCaps/>
          <w:color w:val="000000" w:themeColor="text1"/>
        </w:rPr>
        <w:t>Feroni</w:t>
      </w:r>
      <w:proofErr w:type="spellEnd"/>
      <w:r w:rsidRPr="00B935F1">
        <w:rPr>
          <w:rFonts w:ascii="Garamond" w:hAnsi="Garamond"/>
          <w:color w:val="000000" w:themeColor="text1"/>
        </w:rPr>
        <w:t xml:space="preserve">, </w:t>
      </w:r>
      <w:r w:rsidRPr="00B935F1">
        <w:rPr>
          <w:rFonts w:ascii="Garamond" w:hAnsi="Garamond"/>
          <w:i/>
          <w:color w:val="000000" w:themeColor="text1"/>
        </w:rPr>
        <w:t>Vaccino obbligatorio: «Raccomandare è giusto, ma imporre va contro i diritti»</w:t>
      </w:r>
      <w:r w:rsidRPr="00B935F1">
        <w:rPr>
          <w:rFonts w:ascii="Garamond" w:hAnsi="Garamond"/>
          <w:color w:val="000000" w:themeColor="text1"/>
        </w:rPr>
        <w:t xml:space="preserve">, in </w:t>
      </w:r>
      <w:r w:rsidRPr="00B935F1">
        <w:rPr>
          <w:rFonts w:ascii="Garamond" w:hAnsi="Garamond"/>
          <w:i/>
          <w:color w:val="000000" w:themeColor="text1"/>
        </w:rPr>
        <w:t>Il Dubbio</w:t>
      </w:r>
      <w:r w:rsidRPr="00B935F1">
        <w:rPr>
          <w:rFonts w:ascii="Garamond" w:hAnsi="Garamond"/>
          <w:color w:val="000000" w:themeColor="text1"/>
        </w:rPr>
        <w:t xml:space="preserve">, 1 gennaio 2021, </w:t>
      </w:r>
      <w:hyperlink r:id="rId19" w:history="1">
        <w:r w:rsidRPr="00B935F1">
          <w:rPr>
            <w:rStyle w:val="Collegamentoipertestuale"/>
            <w:rFonts w:ascii="Garamond" w:hAnsi="Garamond"/>
            <w:color w:val="000000" w:themeColor="text1"/>
            <w:u w:val="none"/>
          </w:rPr>
          <w:t>https://www.ildubbio.news/2021/01/01/cerrina-feroni-sbagliato-imporre/</w:t>
        </w:r>
      </w:hyperlink>
      <w:r w:rsidRPr="00B935F1">
        <w:rPr>
          <w:rFonts w:ascii="Garamond" w:hAnsi="Garamond"/>
          <w:color w:val="000000" w:themeColor="text1"/>
        </w:rPr>
        <w:t xml:space="preserve">.  </w:t>
      </w:r>
    </w:p>
  </w:footnote>
  <w:footnote w:id="42">
    <w:p w14:paraId="672E30DE" w14:textId="409E7650"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Sulla insostenibilità di tale pratica sia per motivi organizzativi che economici v. </w:t>
      </w:r>
      <w:r w:rsidRPr="00B935F1">
        <w:rPr>
          <w:rFonts w:ascii="Garamond" w:hAnsi="Garamond"/>
          <w:smallCaps/>
          <w:color w:val="000000" w:themeColor="text1"/>
        </w:rPr>
        <w:t>I. Spadaro</w:t>
      </w:r>
      <w:r w:rsidRPr="00B935F1">
        <w:rPr>
          <w:rFonts w:ascii="Garamond" w:hAnsi="Garamond"/>
          <w:color w:val="000000" w:themeColor="text1"/>
        </w:rPr>
        <w:t>, cit.</w:t>
      </w:r>
    </w:p>
  </w:footnote>
  <w:footnote w:id="43">
    <w:p w14:paraId="7215A6E9" w14:textId="44D13222"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Si pensi, ad esempio, al </w:t>
      </w:r>
      <w:proofErr w:type="spellStart"/>
      <w:r w:rsidRPr="00B935F1">
        <w:rPr>
          <w:rFonts w:ascii="Garamond" w:hAnsi="Garamond"/>
          <w:i/>
          <w:color w:val="000000" w:themeColor="text1"/>
        </w:rPr>
        <w:t>pasaporte</w:t>
      </w:r>
      <w:proofErr w:type="spellEnd"/>
      <w:r w:rsidRPr="00B935F1">
        <w:rPr>
          <w:rFonts w:ascii="Garamond" w:hAnsi="Garamond"/>
          <w:i/>
          <w:color w:val="000000" w:themeColor="text1"/>
        </w:rPr>
        <w:t xml:space="preserve"> Covid</w:t>
      </w:r>
      <w:r w:rsidRPr="00B935F1">
        <w:rPr>
          <w:rFonts w:ascii="Garamond" w:hAnsi="Garamond"/>
          <w:color w:val="000000" w:themeColor="text1"/>
        </w:rPr>
        <w:t xml:space="preserve"> spagnolo, che ha visto da parte del governo nazionale un «</w:t>
      </w:r>
      <w:r w:rsidRPr="00156101">
        <w:rPr>
          <w:rFonts w:ascii="Garamond" w:hAnsi="Garamond"/>
          <w:color w:val="000000" w:themeColor="text1"/>
        </w:rPr>
        <w:t>uso piuttosto contenuto dello strumento in esame, condizionandovi solo lo svolgimento di attività non essenziali e demandandone, comunque, l’effettiva introduzione al livello regionale</w:t>
      </w:r>
      <w:r w:rsidRPr="00B935F1">
        <w:rPr>
          <w:rFonts w:ascii="Garamond" w:hAnsi="Garamond"/>
          <w:color w:val="000000" w:themeColor="text1"/>
        </w:rPr>
        <w:t xml:space="preserve">», in armonia con il disposto di cui alla legge organica nazionale n. 3/1986. </w:t>
      </w:r>
      <w:r w:rsidRPr="00B935F1">
        <w:rPr>
          <w:rFonts w:ascii="Garamond" w:hAnsi="Garamond"/>
          <w:smallCaps/>
          <w:color w:val="000000" w:themeColor="text1"/>
        </w:rPr>
        <w:t>I. Spadaro</w:t>
      </w:r>
      <w:r w:rsidRPr="00B935F1">
        <w:rPr>
          <w:rFonts w:ascii="Garamond" w:hAnsi="Garamond"/>
          <w:color w:val="000000" w:themeColor="text1"/>
        </w:rPr>
        <w:t>, cit.</w:t>
      </w:r>
    </w:p>
  </w:footnote>
  <w:footnote w:id="44">
    <w:p w14:paraId="43B138EC"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Come, ad esempio, in Francia e in Italia, i cui legislatori lo hanno anche prescritto come condizione essenziale per l’accesso a determinati luoghi di lavoro, attraverso la produzione alluvionale di normative di contrasto alla diffusione del patogeno.</w:t>
      </w:r>
    </w:p>
  </w:footnote>
  <w:footnote w:id="45">
    <w:p w14:paraId="00E18E61" w14:textId="43B8861C"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smallCaps/>
          <w:color w:val="000000" w:themeColor="text1"/>
        </w:rPr>
        <w:t>I. Spadaro</w:t>
      </w:r>
      <w:r w:rsidRPr="00B935F1">
        <w:rPr>
          <w:rFonts w:ascii="Garamond" w:hAnsi="Garamond"/>
          <w:color w:val="000000" w:themeColor="text1"/>
        </w:rPr>
        <w:t xml:space="preserve">, cit. L’autore argomenta che non si tratta tanto di un normale incentivo alla vaccinazione, quanto di una pressione psicologica, ovvero, coercizione indiretta, idonea ad incidere sulla formazione della volontà personale, in ragione degli evidenti benefici derivanti per chi decide di aderire alla vaccinazione di massa. Dello stesso segno anche </w:t>
      </w:r>
      <w:r w:rsidRPr="00B935F1">
        <w:rPr>
          <w:rFonts w:ascii="Garamond" w:hAnsi="Garamond"/>
          <w:smallCaps/>
          <w:color w:val="000000" w:themeColor="text1"/>
        </w:rPr>
        <w:t>l’Osservatorio permanente per la legalità costituzionale</w:t>
      </w:r>
      <w:r w:rsidRPr="00B935F1">
        <w:rPr>
          <w:rFonts w:ascii="Garamond" w:hAnsi="Garamond"/>
          <w:color w:val="000000" w:themeColor="text1"/>
        </w:rPr>
        <w:t xml:space="preserve">, </w:t>
      </w:r>
      <w:r w:rsidRPr="00B935F1">
        <w:rPr>
          <w:rFonts w:ascii="Garamond" w:hAnsi="Garamond"/>
          <w:i/>
          <w:color w:val="000000" w:themeColor="text1"/>
        </w:rPr>
        <w:t>Sul dovere costituzionale e comunitario di disapplicazione del cd decreto green pass</w:t>
      </w:r>
      <w:r w:rsidRPr="00B935F1">
        <w:rPr>
          <w:rFonts w:ascii="Garamond" w:hAnsi="Garamond"/>
          <w:color w:val="000000" w:themeColor="text1"/>
        </w:rPr>
        <w:t>, cit.</w:t>
      </w:r>
    </w:p>
  </w:footnote>
  <w:footnote w:id="46">
    <w:p w14:paraId="681FCE24" w14:textId="740A5192"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36 del Regolamento, cit.</w:t>
      </w:r>
    </w:p>
  </w:footnote>
  <w:footnote w:id="47">
    <w:p w14:paraId="2734300B" w14:textId="40DD7C06" w:rsidR="006B1761" w:rsidRPr="00B935F1" w:rsidRDefault="006B1761" w:rsidP="00B67169">
      <w:pPr>
        <w:pStyle w:val="Testonotaapidipagina"/>
        <w:jc w:val="both"/>
        <w:rPr>
          <w:rFonts w:ascii="Garamond" w:hAnsi="Garamond" w:cs="Times New Roman"/>
          <w:color w:val="000000" w:themeColor="text1"/>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rPr>
        <w:t xml:space="preserve"> Tale decreto, infatti, nell’ampliare l’utilizzo della certificazione verde digitale anche ad altri contesti in prospettiva del graduale ritorno alla normalità, ha consentito all’art. 3 (ai vaccinati, a coloro che avessero eseguito un tampone dall’esito negativo o ai guariti) «</w:t>
      </w:r>
      <w:r w:rsidRPr="00156101">
        <w:rPr>
          <w:rFonts w:ascii="Garamond" w:hAnsi="Garamond" w:cs="Times New Roman"/>
          <w:color w:val="000000" w:themeColor="text1"/>
        </w:rPr>
        <w:t xml:space="preserve">esclusivamente ai soggetti muniti di una delle certificazioni verdi COVID-19, di cui all'articolo 9, comma 2, l'accesso ai seguenti servizi e </w:t>
      </w:r>
      <w:proofErr w:type="spellStart"/>
      <w:r w:rsidRPr="00156101">
        <w:rPr>
          <w:rFonts w:ascii="Garamond" w:hAnsi="Garamond" w:cs="Times New Roman"/>
          <w:color w:val="000000" w:themeColor="text1"/>
        </w:rPr>
        <w:t>attivita'</w:t>
      </w:r>
      <w:proofErr w:type="spellEnd"/>
      <w:r w:rsidRPr="00156101">
        <w:rPr>
          <w:rFonts w:ascii="Garamond" w:hAnsi="Garamond" w:cs="Times New Roman"/>
          <w:color w:val="000000" w:themeColor="text1"/>
        </w:rPr>
        <w:t xml:space="preserve">:  a) servizi di ristorazione svolti da  qualsiasi  esercizio,  di cui all'articolo 4, per il consumo al tavolo, al chiuso;  b)  spettacoli  aperti  al  pubblico,  eventi  e   competizioni sportivi, di cui all'articolo 5; c) musei, altri istituti e luoghi della cultura  e  mostre,  di cui all'articolo 5-bis; d) piscine, centri natatori, palestre, sport di squadra, centri benessere,  anche  all'interno  di  strutture   ricettive, di cui all'articolo 6, limitatamente alle </w:t>
      </w:r>
      <w:proofErr w:type="spellStart"/>
      <w:r w:rsidRPr="00156101">
        <w:rPr>
          <w:rFonts w:ascii="Garamond" w:hAnsi="Garamond" w:cs="Times New Roman"/>
          <w:color w:val="000000" w:themeColor="text1"/>
        </w:rPr>
        <w:t>attivita'</w:t>
      </w:r>
      <w:proofErr w:type="spellEnd"/>
      <w:r w:rsidRPr="00156101">
        <w:rPr>
          <w:rFonts w:ascii="Garamond" w:hAnsi="Garamond" w:cs="Times New Roman"/>
          <w:color w:val="000000" w:themeColor="text1"/>
        </w:rPr>
        <w:t xml:space="preserve"> al chiuso; e) sagre e fiere, convegni e congressi di cui all'articolo 7; f) centri termali, parchi tematici e di divertimento; g) centri culturali,  centri sociali  e  ricreativi,  di  cui all'articolo 8-bis, comma 1, limitatamente alle </w:t>
      </w:r>
      <w:proofErr w:type="spellStart"/>
      <w:r w:rsidRPr="00156101">
        <w:rPr>
          <w:rFonts w:ascii="Garamond" w:hAnsi="Garamond" w:cs="Times New Roman"/>
          <w:color w:val="000000" w:themeColor="text1"/>
        </w:rPr>
        <w:t>attivita'</w:t>
      </w:r>
      <w:proofErr w:type="spellEnd"/>
      <w:r w:rsidRPr="00156101">
        <w:rPr>
          <w:rFonts w:ascii="Garamond" w:hAnsi="Garamond" w:cs="Times New Roman"/>
          <w:color w:val="000000" w:themeColor="text1"/>
        </w:rPr>
        <w:t xml:space="preserve"> al chiuso e con esclusione dei centri educativi per l'infanzia, compresi i centri estivi, e le relative </w:t>
      </w:r>
      <w:proofErr w:type="spellStart"/>
      <w:r w:rsidRPr="00156101">
        <w:rPr>
          <w:rFonts w:ascii="Garamond" w:hAnsi="Garamond" w:cs="Times New Roman"/>
          <w:color w:val="000000" w:themeColor="text1"/>
        </w:rPr>
        <w:t>attivita'</w:t>
      </w:r>
      <w:proofErr w:type="spellEnd"/>
      <w:r w:rsidRPr="00156101">
        <w:rPr>
          <w:rFonts w:ascii="Garamond" w:hAnsi="Garamond" w:cs="Times New Roman"/>
          <w:color w:val="000000" w:themeColor="text1"/>
        </w:rPr>
        <w:t xml:space="preserve"> di ristorazione; h) </w:t>
      </w:r>
      <w:proofErr w:type="spellStart"/>
      <w:r w:rsidRPr="00156101">
        <w:rPr>
          <w:rFonts w:ascii="Garamond" w:hAnsi="Garamond" w:cs="Times New Roman"/>
          <w:color w:val="000000" w:themeColor="text1"/>
        </w:rPr>
        <w:t>attivita'</w:t>
      </w:r>
      <w:proofErr w:type="spellEnd"/>
      <w:r w:rsidRPr="00156101">
        <w:rPr>
          <w:rFonts w:ascii="Garamond" w:hAnsi="Garamond" w:cs="Times New Roman"/>
          <w:color w:val="000000" w:themeColor="text1"/>
        </w:rPr>
        <w:t xml:space="preserve"> di  sale  gioco,  sale  scommesse,  sale  bingo  e </w:t>
      </w:r>
      <w:proofErr w:type="spellStart"/>
      <w:r w:rsidRPr="00156101">
        <w:rPr>
          <w:rFonts w:ascii="Garamond" w:hAnsi="Garamond" w:cs="Times New Roman"/>
          <w:color w:val="000000" w:themeColor="text1"/>
        </w:rPr>
        <w:t>casino'</w:t>
      </w:r>
      <w:proofErr w:type="spellEnd"/>
      <w:r w:rsidRPr="00156101">
        <w:rPr>
          <w:rFonts w:ascii="Garamond" w:hAnsi="Garamond" w:cs="Times New Roman"/>
          <w:color w:val="000000" w:themeColor="text1"/>
        </w:rPr>
        <w:t>, di cui all'articolo 8-ter; i) concorsi pubblici</w:t>
      </w:r>
      <w:r w:rsidRPr="00B935F1">
        <w:rPr>
          <w:rFonts w:ascii="Garamond" w:hAnsi="Garamond" w:cs="Times New Roman"/>
          <w:color w:val="000000" w:themeColor="text1"/>
        </w:rPr>
        <w:t>».</w:t>
      </w:r>
      <w:r w:rsidRPr="00B935F1">
        <w:rPr>
          <w:rFonts w:ascii="Garamond" w:hAnsi="Garamond" w:cs="Times New Roman"/>
          <w:i/>
          <w:color w:val="000000" w:themeColor="text1"/>
        </w:rPr>
        <w:t xml:space="preserve"> </w:t>
      </w:r>
      <w:r w:rsidRPr="00B935F1">
        <w:rPr>
          <w:rFonts w:ascii="Garamond" w:hAnsi="Garamond" w:cs="Times New Roman"/>
          <w:color w:val="000000" w:themeColor="text1"/>
        </w:rPr>
        <w:t>Inoltre, ha previsto anche ragionevoli esenzioni per i soggetti esclusi dalla campagna vaccinale o possessori di idonea certificazione medica rilasciata nel rispetto dei criteri indicati dal Ministero della salute.</w:t>
      </w:r>
    </w:p>
  </w:footnote>
  <w:footnote w:id="48">
    <w:p w14:paraId="1823E9B2" w14:textId="6FE91BB0" w:rsidR="006B1761" w:rsidRPr="00B935F1" w:rsidRDefault="006B1761" w:rsidP="00B67169">
      <w:pPr>
        <w:pStyle w:val="Testonotaapidipagina"/>
        <w:jc w:val="both"/>
        <w:rPr>
          <w:rFonts w:ascii="Garamond" w:hAnsi="Garamond" w:cs="Times New Roman"/>
          <w:color w:val="000000" w:themeColor="text1"/>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rPr>
        <w:t xml:space="preserve"> In Italia, peraltro, la delibera del Garante per la protezione dei dati personali, oltre a dubitare della legittimità dell’ordinanza del 6 maggio 2021, n. 17, della Campania - che estendeva l’utilizzo del </w:t>
      </w:r>
      <w:r w:rsidRPr="00B935F1">
        <w:rPr>
          <w:rFonts w:ascii="Garamond" w:hAnsi="Garamond" w:cs="Times New Roman"/>
          <w:i/>
          <w:color w:val="000000" w:themeColor="text1"/>
        </w:rPr>
        <w:t>green pass</w:t>
      </w:r>
      <w:r w:rsidRPr="00B935F1">
        <w:rPr>
          <w:rFonts w:ascii="Garamond" w:hAnsi="Garamond" w:cs="Times New Roman"/>
          <w:color w:val="000000" w:themeColor="text1"/>
        </w:rPr>
        <w:t xml:space="preserve"> al di fuori dei casi previsti dalla legge - ha sollevato anche perplessità in merito al </w:t>
      </w:r>
      <w:proofErr w:type="spellStart"/>
      <w:r w:rsidRPr="00B935F1">
        <w:rPr>
          <w:rFonts w:ascii="Garamond" w:hAnsi="Garamond" w:cs="Times New Roman"/>
          <w:color w:val="000000" w:themeColor="text1"/>
        </w:rPr>
        <w:t>d.l.</w:t>
      </w:r>
      <w:proofErr w:type="spellEnd"/>
      <w:r w:rsidRPr="00B935F1">
        <w:rPr>
          <w:rFonts w:ascii="Garamond" w:hAnsi="Garamond" w:cs="Times New Roman"/>
          <w:color w:val="000000" w:themeColor="text1"/>
        </w:rPr>
        <w:t xml:space="preserve"> 52/2021, (introduttivo della certificazione verde nel territorio nazionale) il quale, non prevedendo le finalità «</w:t>
      </w:r>
      <w:r w:rsidRPr="00156101">
        <w:rPr>
          <w:rFonts w:ascii="Garamond" w:hAnsi="Garamond" w:cs="Times New Roman"/>
          <w:color w:val="000000" w:themeColor="text1"/>
        </w:rPr>
        <w:t>per le quali possono essere utilizzate le predette certificazioni</w:t>
      </w:r>
      <w:r w:rsidRPr="00B935F1">
        <w:rPr>
          <w:rFonts w:ascii="Garamond" w:hAnsi="Garamond" w:cs="Times New Roman"/>
          <w:color w:val="000000" w:themeColor="text1"/>
        </w:rPr>
        <w:t xml:space="preserve">», non costituiva così una valida base giuridica nazionale per l’introduzione e l’utilizzo delle certificazioni verdi. V. Provvedimento di avvertimento del Garante per la protezione dei dati personali alla regione Campania in merito all'uso delle certificazioni verdi Covid-19 del 25 maggio 2021. Inoltre, la Corte costituzionale ha confermato in una pronuncia successiva la posizione del Garante, che richiedeva una base giuridica statale per l’introduzione del </w:t>
      </w:r>
      <w:r w:rsidRPr="00B935F1">
        <w:rPr>
          <w:rFonts w:ascii="Garamond" w:hAnsi="Garamond" w:cs="Times New Roman"/>
          <w:i/>
          <w:color w:val="000000" w:themeColor="text1"/>
        </w:rPr>
        <w:t>green pass</w:t>
      </w:r>
      <w:r w:rsidRPr="00B935F1">
        <w:rPr>
          <w:rFonts w:ascii="Garamond" w:hAnsi="Garamond" w:cs="Times New Roman"/>
          <w:color w:val="000000" w:themeColor="text1"/>
        </w:rPr>
        <w:t>, ritenendo incompatibili con la Costituzione eventuali «</w:t>
      </w:r>
      <w:r w:rsidRPr="00156101">
        <w:rPr>
          <w:rFonts w:ascii="Garamond" w:hAnsi="Garamond" w:cs="Times New Roman"/>
          <w:color w:val="000000" w:themeColor="text1"/>
        </w:rPr>
        <w:t>iniziative territoriali per finalità ulteriori e con modalità difformi</w:t>
      </w:r>
      <w:r w:rsidRPr="00B935F1">
        <w:rPr>
          <w:rFonts w:ascii="Garamond" w:hAnsi="Garamond" w:cs="Times New Roman"/>
          <w:color w:val="000000" w:themeColor="text1"/>
        </w:rPr>
        <w:t>». Sentenza della Corte costituzionale del 30 giugno 2022, n. 164/2022 (ECLI:</w:t>
      </w:r>
      <w:proofErr w:type="gramStart"/>
      <w:r w:rsidRPr="00B935F1">
        <w:rPr>
          <w:rFonts w:ascii="Garamond" w:hAnsi="Garamond" w:cs="Times New Roman"/>
          <w:color w:val="000000" w:themeColor="text1"/>
        </w:rPr>
        <w:t>IT:COST</w:t>
      </w:r>
      <w:proofErr w:type="gramEnd"/>
      <w:r w:rsidRPr="00B935F1">
        <w:rPr>
          <w:rFonts w:ascii="Garamond" w:hAnsi="Garamond" w:cs="Times New Roman"/>
          <w:color w:val="000000" w:themeColor="text1"/>
        </w:rPr>
        <w:t>:2022:164). In armonia con la decisione con cui la Consulta riconosceva la competenza legislativa esclusiva al legislatore statale su «</w:t>
      </w:r>
      <w:r w:rsidRPr="00156101">
        <w:rPr>
          <w:rFonts w:ascii="Garamond" w:hAnsi="Garamond" w:cs="Times New Roman"/>
          <w:color w:val="000000" w:themeColor="text1"/>
        </w:rPr>
        <w:t>ogni misura atta a contrastare una pandemia sanitaria in corso, ovvero a prevenirla</w:t>
      </w:r>
      <w:r w:rsidRPr="00B935F1">
        <w:rPr>
          <w:rFonts w:ascii="Garamond" w:hAnsi="Garamond" w:cs="Times New Roman"/>
          <w:color w:val="000000" w:themeColor="text1"/>
        </w:rPr>
        <w:t>» in base all’art. 117 lett. q) in tema di profilassi internazionale. Sentenza della Corte costituzionale del 17 marzo 2021, n. 37/2021, (ECLI:</w:t>
      </w:r>
      <w:proofErr w:type="gramStart"/>
      <w:r w:rsidRPr="00B935F1">
        <w:rPr>
          <w:rFonts w:ascii="Garamond" w:hAnsi="Garamond" w:cs="Times New Roman"/>
          <w:color w:val="000000" w:themeColor="text1"/>
        </w:rPr>
        <w:t>IT:COST</w:t>
      </w:r>
      <w:proofErr w:type="gramEnd"/>
      <w:r w:rsidRPr="00B935F1">
        <w:rPr>
          <w:rFonts w:ascii="Garamond" w:hAnsi="Garamond" w:cs="Times New Roman"/>
          <w:color w:val="000000" w:themeColor="text1"/>
        </w:rPr>
        <w:t>:2021:37).</w:t>
      </w:r>
    </w:p>
  </w:footnote>
  <w:footnote w:id="49">
    <w:p w14:paraId="34C90105" w14:textId="04FC572F" w:rsidR="006B1761" w:rsidRPr="00B935F1" w:rsidRDefault="006B1761" w:rsidP="00B67169">
      <w:pPr>
        <w:pStyle w:val="Testonotaapidipagina"/>
        <w:jc w:val="both"/>
        <w:rPr>
          <w:rFonts w:ascii="Garamond" w:hAnsi="Garamond" w:cs="Times New Roman"/>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cs="Times New Roman"/>
          <w:color w:val="000000" w:themeColor="text1"/>
        </w:rPr>
        <w:t xml:space="preserve">Pronunciatosi per la prima volta il 31 maggio 2021 con una decisione favorevole all’introduzione </w:t>
      </w:r>
      <w:proofErr w:type="gramStart"/>
      <w:r w:rsidRPr="00B935F1">
        <w:rPr>
          <w:rFonts w:ascii="Garamond" w:hAnsi="Garamond" w:cs="Times New Roman"/>
          <w:color w:val="000000" w:themeColor="text1"/>
        </w:rPr>
        <w:t xml:space="preserve">del </w:t>
      </w:r>
      <w:r w:rsidRPr="00B935F1">
        <w:rPr>
          <w:rFonts w:ascii="Garamond" w:hAnsi="Garamond" w:cs="Times New Roman"/>
          <w:i/>
          <w:color w:val="000000" w:themeColor="text1"/>
        </w:rPr>
        <w:t>passe</w:t>
      </w:r>
      <w:proofErr w:type="gram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sanitaire</w:t>
      </w:r>
      <w:proofErr w:type="spellEnd"/>
      <w:r w:rsidRPr="00B935F1">
        <w:rPr>
          <w:rFonts w:ascii="Garamond" w:hAnsi="Garamond" w:cs="Times New Roman"/>
          <w:color w:val="000000" w:themeColor="text1"/>
        </w:rPr>
        <w:t xml:space="preserve"> e alla sua funzione di monitoraggio efficace nel contrasto alla diffusione del nuovo coronavirus. </w:t>
      </w:r>
      <w:proofErr w:type="spellStart"/>
      <w:r w:rsidRPr="00B935F1">
        <w:rPr>
          <w:rFonts w:ascii="Garamond" w:hAnsi="Garamond" w:cs="Times New Roman"/>
          <w:i/>
          <w:color w:val="000000" w:themeColor="text1"/>
        </w:rPr>
        <w:t>Décision</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du</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Conseil</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Constitutionnel</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du</w:t>
      </w:r>
      <w:proofErr w:type="spellEnd"/>
      <w:r w:rsidRPr="00B935F1">
        <w:rPr>
          <w:rFonts w:ascii="Garamond" w:hAnsi="Garamond" w:cs="Times New Roman"/>
          <w:i/>
          <w:color w:val="000000" w:themeColor="text1"/>
        </w:rPr>
        <w:t xml:space="preserve"> 31 mai 2021</w:t>
      </w:r>
      <w:r w:rsidRPr="00B935F1">
        <w:rPr>
          <w:rFonts w:ascii="Garamond" w:hAnsi="Garamond" w:cs="Times New Roman"/>
          <w:color w:val="000000" w:themeColor="text1"/>
        </w:rPr>
        <w:t xml:space="preserve">, n. 2021-819. </w:t>
      </w:r>
      <w:r w:rsidRPr="00B935F1">
        <w:rPr>
          <w:rFonts w:ascii="Garamond" w:hAnsi="Garamond" w:cs="Times New Roman"/>
          <w:smallCaps/>
          <w:color w:val="000000" w:themeColor="text1"/>
        </w:rPr>
        <w:t xml:space="preserve">G. Grasso et M. </w:t>
      </w:r>
      <w:proofErr w:type="spellStart"/>
      <w:r w:rsidRPr="00B935F1">
        <w:rPr>
          <w:rFonts w:ascii="Garamond" w:hAnsi="Garamond" w:cs="Times New Roman"/>
          <w:smallCaps/>
          <w:color w:val="000000" w:themeColor="text1"/>
        </w:rPr>
        <w:t>Kordera</w:t>
      </w:r>
      <w:proofErr w:type="spellEnd"/>
      <w:r w:rsidRPr="00B935F1">
        <w:rPr>
          <w:rFonts w:ascii="Garamond" w:hAnsi="Garamond" w:cs="Times New Roman"/>
          <w:color w:val="000000" w:themeColor="text1"/>
        </w:rPr>
        <w:t xml:space="preserve">, </w:t>
      </w:r>
      <w:r w:rsidRPr="00B935F1">
        <w:rPr>
          <w:rFonts w:ascii="Garamond" w:hAnsi="Garamond" w:cs="Times New Roman"/>
          <w:i/>
          <w:color w:val="000000" w:themeColor="text1"/>
        </w:rPr>
        <w:t xml:space="preserve">Le </w:t>
      </w:r>
      <w:proofErr w:type="spellStart"/>
      <w:r w:rsidRPr="00B935F1">
        <w:rPr>
          <w:rFonts w:ascii="Garamond" w:hAnsi="Garamond" w:cs="Times New Roman"/>
          <w:i/>
          <w:color w:val="000000" w:themeColor="text1"/>
        </w:rPr>
        <w:t>Conseil</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constitutionnel</w:t>
      </w:r>
      <w:proofErr w:type="spellEnd"/>
      <w:r w:rsidRPr="00B935F1">
        <w:rPr>
          <w:rFonts w:ascii="Garamond" w:hAnsi="Garamond" w:cs="Times New Roman"/>
          <w:i/>
          <w:color w:val="000000" w:themeColor="text1"/>
        </w:rPr>
        <w:t xml:space="preserve"> valide la </w:t>
      </w:r>
      <w:proofErr w:type="spellStart"/>
      <w:r w:rsidRPr="00B935F1">
        <w:rPr>
          <w:rFonts w:ascii="Garamond" w:hAnsi="Garamond" w:cs="Times New Roman"/>
          <w:i/>
          <w:color w:val="000000" w:themeColor="text1"/>
        </w:rPr>
        <w:t>structure</w:t>
      </w:r>
      <w:proofErr w:type="spellEnd"/>
      <w:r w:rsidRPr="00B935F1">
        <w:rPr>
          <w:rFonts w:ascii="Garamond" w:hAnsi="Garamond" w:cs="Times New Roman"/>
          <w:i/>
          <w:color w:val="000000" w:themeColor="text1"/>
        </w:rPr>
        <w:t xml:space="preserve"> fondamentale </w:t>
      </w:r>
      <w:proofErr w:type="spellStart"/>
      <w:r w:rsidRPr="00B935F1">
        <w:rPr>
          <w:rFonts w:ascii="Garamond" w:hAnsi="Garamond" w:cs="Times New Roman"/>
          <w:i/>
          <w:color w:val="000000" w:themeColor="text1"/>
        </w:rPr>
        <w:t>du</w:t>
      </w:r>
      <w:proofErr w:type="spellEnd"/>
      <w:r w:rsidRPr="00B935F1">
        <w:rPr>
          <w:rFonts w:ascii="Garamond" w:hAnsi="Garamond" w:cs="Times New Roman"/>
          <w:i/>
          <w:color w:val="000000" w:themeColor="text1"/>
        </w:rPr>
        <w:t xml:space="preserve"> «passe </w:t>
      </w:r>
      <w:proofErr w:type="spellStart"/>
      <w:r w:rsidRPr="00B935F1">
        <w:rPr>
          <w:rFonts w:ascii="Garamond" w:hAnsi="Garamond" w:cs="Times New Roman"/>
          <w:i/>
          <w:color w:val="000000" w:themeColor="text1"/>
        </w:rPr>
        <w:t>sanitaire</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quelques</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réflexions</w:t>
      </w:r>
      <w:proofErr w:type="spellEnd"/>
      <w:r w:rsidRPr="00B935F1">
        <w:rPr>
          <w:rFonts w:ascii="Garamond" w:hAnsi="Garamond" w:cs="Times New Roman"/>
          <w:i/>
          <w:color w:val="000000" w:themeColor="text1"/>
        </w:rPr>
        <w:t xml:space="preserve"> sur la </w:t>
      </w:r>
      <w:proofErr w:type="spellStart"/>
      <w:r w:rsidRPr="00B935F1">
        <w:rPr>
          <w:rFonts w:ascii="Garamond" w:hAnsi="Garamond" w:cs="Times New Roman"/>
          <w:i/>
          <w:color w:val="000000" w:themeColor="text1"/>
        </w:rPr>
        <w:t>décision</w:t>
      </w:r>
      <w:proofErr w:type="spellEnd"/>
      <w:r w:rsidRPr="00B935F1">
        <w:rPr>
          <w:rFonts w:ascii="Garamond" w:hAnsi="Garamond" w:cs="Times New Roman"/>
          <w:i/>
          <w:color w:val="000000" w:themeColor="text1"/>
        </w:rPr>
        <w:t xml:space="preserve"> n. 2021-819 DC </w:t>
      </w:r>
      <w:proofErr w:type="spellStart"/>
      <w:r w:rsidRPr="00B935F1">
        <w:rPr>
          <w:rFonts w:ascii="Garamond" w:hAnsi="Garamond" w:cs="Times New Roman"/>
          <w:i/>
          <w:color w:val="000000" w:themeColor="text1"/>
        </w:rPr>
        <w:t>du</w:t>
      </w:r>
      <w:proofErr w:type="spellEnd"/>
      <w:r w:rsidRPr="00B935F1">
        <w:rPr>
          <w:rFonts w:ascii="Garamond" w:hAnsi="Garamond" w:cs="Times New Roman"/>
          <w:i/>
          <w:color w:val="000000" w:themeColor="text1"/>
        </w:rPr>
        <w:t xml:space="preserve"> 31 mai 2021</w:t>
      </w:r>
      <w:r w:rsidRPr="00B935F1">
        <w:rPr>
          <w:rFonts w:ascii="Garamond" w:hAnsi="Garamond" w:cs="Times New Roman"/>
          <w:color w:val="000000" w:themeColor="text1"/>
        </w:rPr>
        <w:t xml:space="preserve">, in </w:t>
      </w:r>
      <w:hyperlink r:id="rId20" w:history="1">
        <w:r w:rsidRPr="00B935F1">
          <w:rPr>
            <w:rStyle w:val="Collegamentoipertestuale"/>
            <w:rFonts w:ascii="Garamond" w:hAnsi="Garamond" w:cs="Times New Roman"/>
            <w:i/>
            <w:color w:val="000000" w:themeColor="text1"/>
            <w:u w:val="none"/>
          </w:rPr>
          <w:t>Cortisupremesalute.it</w:t>
        </w:r>
      </w:hyperlink>
      <w:r w:rsidRPr="00B935F1">
        <w:rPr>
          <w:rFonts w:ascii="Garamond" w:hAnsi="Garamond" w:cs="Times New Roman"/>
          <w:color w:val="000000" w:themeColor="text1"/>
        </w:rPr>
        <w:t>, 2021, pp. 544-545.</w:t>
      </w:r>
    </w:p>
  </w:footnote>
  <w:footnote w:id="50">
    <w:p w14:paraId="1E38EEDE" w14:textId="3E5BBEDE" w:rsidR="006B1761" w:rsidRPr="00B935F1" w:rsidRDefault="006B1761" w:rsidP="00B67169">
      <w:pPr>
        <w:pStyle w:val="Testonotaapidipagina"/>
        <w:jc w:val="both"/>
        <w:rPr>
          <w:rFonts w:ascii="Garamond" w:hAnsi="Garamond" w:cs="Times New Roman"/>
          <w:color w:val="000000" w:themeColor="text1"/>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rPr>
        <w:t xml:space="preserve"> Una di queste, promossa dal Primo Ministro, era però indirizzata non a contestare la legge stessa, ma anzi ad avallare la scelta effettuata dai parlamentari e ad evidenziare il corretto ed audace bilanciamento perseguito dal legislatore tra tutela della salute pubblica e protezione dei diritti e delle libertà fondamentali, come evidenziato dalla dottrina. </w:t>
      </w:r>
      <w:r w:rsidRPr="00B935F1">
        <w:rPr>
          <w:rFonts w:ascii="Garamond" w:hAnsi="Garamond" w:cs="Times New Roman"/>
          <w:smallCaps/>
          <w:color w:val="000000" w:themeColor="text1"/>
        </w:rPr>
        <w:t>G. Grasso</w:t>
      </w:r>
      <w:r w:rsidRPr="00B935F1">
        <w:rPr>
          <w:rFonts w:ascii="Garamond" w:hAnsi="Garamond" w:cs="Times New Roman"/>
          <w:color w:val="000000" w:themeColor="text1"/>
        </w:rPr>
        <w:t xml:space="preserve">, </w:t>
      </w:r>
      <w:proofErr w:type="gramStart"/>
      <w:r w:rsidRPr="00B935F1">
        <w:rPr>
          <w:rFonts w:ascii="Garamond" w:hAnsi="Garamond" w:cs="Times New Roman"/>
          <w:i/>
          <w:color w:val="000000" w:themeColor="text1"/>
        </w:rPr>
        <w:t xml:space="preserve">Il </w:t>
      </w:r>
      <w:r w:rsidRPr="00156101">
        <w:rPr>
          <w:rFonts w:ascii="Garamond" w:hAnsi="Garamond" w:cs="Times New Roman"/>
          <w:color w:val="000000" w:themeColor="text1"/>
        </w:rPr>
        <w:t>passe</w:t>
      </w:r>
      <w:proofErr w:type="gram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sanitaire</w:t>
      </w:r>
      <w:proofErr w:type="spellEnd"/>
      <w:r w:rsidRPr="00B935F1">
        <w:rPr>
          <w:rFonts w:ascii="Garamond" w:hAnsi="Garamond" w:cs="Times New Roman"/>
          <w:i/>
          <w:color w:val="000000" w:themeColor="text1"/>
        </w:rPr>
        <w:t xml:space="preserve"> e i diritti e le libertà costituzionalmente garantiti nella decisione n° 2021-824 DC del 5 agosto 2021 del </w:t>
      </w:r>
      <w:proofErr w:type="spellStart"/>
      <w:r w:rsidRPr="00B935F1">
        <w:rPr>
          <w:rFonts w:ascii="Garamond" w:hAnsi="Garamond" w:cs="Times New Roman"/>
          <w:i/>
          <w:color w:val="000000" w:themeColor="text1"/>
        </w:rPr>
        <w:t>Conseil</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constitutionnel</w:t>
      </w:r>
      <w:proofErr w:type="spellEnd"/>
      <w:r w:rsidRPr="00B935F1">
        <w:rPr>
          <w:rFonts w:ascii="Garamond" w:hAnsi="Garamond" w:cs="Times New Roman"/>
          <w:color w:val="000000" w:themeColor="text1"/>
        </w:rPr>
        <w:t xml:space="preserve">, in </w:t>
      </w:r>
      <w:r w:rsidRPr="00B935F1">
        <w:rPr>
          <w:rFonts w:ascii="Garamond" w:hAnsi="Garamond" w:cs="Times New Roman"/>
          <w:i/>
          <w:color w:val="000000" w:themeColor="text1"/>
        </w:rPr>
        <w:t>DPCE</w:t>
      </w:r>
      <w:r w:rsidRPr="00B935F1">
        <w:rPr>
          <w:rFonts w:ascii="Garamond" w:hAnsi="Garamond" w:cs="Times New Roman"/>
          <w:color w:val="000000" w:themeColor="text1"/>
        </w:rPr>
        <w:t>, 2021, pp. 2821 e ss.</w:t>
      </w:r>
    </w:p>
  </w:footnote>
  <w:footnote w:id="51">
    <w:p w14:paraId="09306A28" w14:textId="668A988B"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Décision</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du</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Conseil</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Constitutionnel</w:t>
      </w:r>
      <w:proofErr w:type="spellEnd"/>
      <w:r w:rsidRPr="00156101">
        <w:rPr>
          <w:rFonts w:ascii="Garamond" w:hAnsi="Garamond" w:cs="Times New Roman"/>
          <w:color w:val="000000" w:themeColor="text1"/>
        </w:rPr>
        <w:t xml:space="preserve"> </w:t>
      </w:r>
      <w:proofErr w:type="spellStart"/>
      <w:r w:rsidRPr="00156101">
        <w:rPr>
          <w:rFonts w:ascii="Garamond" w:hAnsi="Garamond"/>
          <w:color w:val="000000" w:themeColor="text1"/>
        </w:rPr>
        <w:t>du</w:t>
      </w:r>
      <w:proofErr w:type="spellEnd"/>
      <w:r w:rsidRPr="00156101">
        <w:rPr>
          <w:rFonts w:ascii="Garamond" w:hAnsi="Garamond"/>
          <w:color w:val="000000" w:themeColor="text1"/>
        </w:rPr>
        <w:t xml:space="preserve"> 5 </w:t>
      </w:r>
      <w:proofErr w:type="spellStart"/>
      <w:r w:rsidRPr="00156101">
        <w:rPr>
          <w:rFonts w:ascii="Garamond" w:hAnsi="Garamond"/>
          <w:color w:val="000000" w:themeColor="text1"/>
        </w:rPr>
        <w:t>août</w:t>
      </w:r>
      <w:proofErr w:type="spellEnd"/>
      <w:r w:rsidRPr="00156101">
        <w:rPr>
          <w:rFonts w:ascii="Garamond" w:hAnsi="Garamond"/>
          <w:color w:val="000000" w:themeColor="text1"/>
        </w:rPr>
        <w:t xml:space="preserve"> 2021</w:t>
      </w:r>
      <w:r w:rsidRPr="00EC6134">
        <w:rPr>
          <w:rFonts w:ascii="Garamond" w:hAnsi="Garamond"/>
          <w:color w:val="000000" w:themeColor="text1"/>
        </w:rPr>
        <w:t xml:space="preserve">, </w:t>
      </w:r>
      <w:r w:rsidRPr="00156101">
        <w:rPr>
          <w:rFonts w:ascii="Garamond" w:hAnsi="Garamond" w:cs="Times New Roman"/>
          <w:color w:val="000000" w:themeColor="text1"/>
        </w:rPr>
        <w:t xml:space="preserve">n. 2021/824, </w:t>
      </w:r>
      <w:proofErr w:type="spellStart"/>
      <w:r w:rsidRPr="00156101">
        <w:rPr>
          <w:rFonts w:ascii="Garamond" w:hAnsi="Garamond" w:cs="Times New Roman"/>
          <w:color w:val="000000" w:themeColor="text1"/>
        </w:rPr>
        <w:t>paragraphe</w:t>
      </w:r>
      <w:proofErr w:type="spellEnd"/>
      <w:r w:rsidRPr="00156101">
        <w:rPr>
          <w:rFonts w:ascii="Garamond" w:hAnsi="Garamond" w:cs="Times New Roman"/>
          <w:color w:val="000000" w:themeColor="text1"/>
        </w:rPr>
        <w:t xml:space="preserve"> 28</w:t>
      </w:r>
      <w:r w:rsidRPr="00EC6134">
        <w:rPr>
          <w:rFonts w:ascii="Garamond" w:hAnsi="Garamond" w:cs="Times New Roman"/>
          <w:color w:val="000000" w:themeColor="text1"/>
        </w:rPr>
        <w:t xml:space="preserve">: «Il </w:t>
      </w:r>
      <w:proofErr w:type="spellStart"/>
      <w:r w:rsidRPr="00156101">
        <w:rPr>
          <w:rFonts w:ascii="Garamond" w:hAnsi="Garamond" w:cs="Times New Roman"/>
          <w:color w:val="000000" w:themeColor="text1"/>
        </w:rPr>
        <w:t>appartient</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au</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législateur</w:t>
      </w:r>
      <w:proofErr w:type="spellEnd"/>
      <w:r w:rsidRPr="00156101">
        <w:rPr>
          <w:rFonts w:ascii="Garamond" w:hAnsi="Garamond" w:cs="Times New Roman"/>
          <w:color w:val="000000" w:themeColor="text1"/>
        </w:rPr>
        <w:t xml:space="preserve"> d'</w:t>
      </w:r>
      <w:proofErr w:type="spellStart"/>
      <w:r w:rsidRPr="00156101">
        <w:rPr>
          <w:rFonts w:ascii="Garamond" w:hAnsi="Garamond" w:cs="Times New Roman"/>
          <w:color w:val="000000" w:themeColor="text1"/>
        </w:rPr>
        <w:t>assurer</w:t>
      </w:r>
      <w:proofErr w:type="spellEnd"/>
      <w:r w:rsidRPr="00156101">
        <w:rPr>
          <w:rFonts w:ascii="Garamond" w:hAnsi="Garamond" w:cs="Times New Roman"/>
          <w:color w:val="000000" w:themeColor="text1"/>
        </w:rPr>
        <w:t xml:space="preserve"> la </w:t>
      </w:r>
      <w:proofErr w:type="spellStart"/>
      <w:r w:rsidRPr="00156101">
        <w:rPr>
          <w:rFonts w:ascii="Garamond" w:hAnsi="Garamond" w:cs="Times New Roman"/>
          <w:color w:val="000000" w:themeColor="text1"/>
        </w:rPr>
        <w:t>conciliation</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entre</w:t>
      </w:r>
      <w:proofErr w:type="spellEnd"/>
      <w:r w:rsidRPr="00156101">
        <w:rPr>
          <w:rFonts w:ascii="Garamond" w:hAnsi="Garamond" w:cs="Times New Roman"/>
          <w:color w:val="000000" w:themeColor="text1"/>
        </w:rPr>
        <w:t xml:space="preserve"> l'</w:t>
      </w:r>
      <w:proofErr w:type="spellStart"/>
      <w:r w:rsidRPr="00156101">
        <w:rPr>
          <w:rFonts w:ascii="Garamond" w:hAnsi="Garamond" w:cs="Times New Roman"/>
          <w:color w:val="000000" w:themeColor="text1"/>
        </w:rPr>
        <w:t>objectif</w:t>
      </w:r>
      <w:proofErr w:type="spellEnd"/>
      <w:r w:rsidRPr="00156101">
        <w:rPr>
          <w:rFonts w:ascii="Garamond" w:hAnsi="Garamond" w:cs="Times New Roman"/>
          <w:color w:val="000000" w:themeColor="text1"/>
        </w:rPr>
        <w:t xml:space="preserve"> de </w:t>
      </w:r>
      <w:proofErr w:type="spellStart"/>
      <w:r w:rsidRPr="00156101">
        <w:rPr>
          <w:rFonts w:ascii="Garamond" w:hAnsi="Garamond" w:cs="Times New Roman"/>
          <w:color w:val="000000" w:themeColor="text1"/>
        </w:rPr>
        <w:t>valeur</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constitutionnelle</w:t>
      </w:r>
      <w:proofErr w:type="spellEnd"/>
      <w:r w:rsidRPr="00156101">
        <w:rPr>
          <w:rFonts w:ascii="Garamond" w:hAnsi="Garamond" w:cs="Times New Roman"/>
          <w:color w:val="000000" w:themeColor="text1"/>
        </w:rPr>
        <w:t xml:space="preserve"> de </w:t>
      </w:r>
      <w:proofErr w:type="spellStart"/>
      <w:r w:rsidRPr="00156101">
        <w:rPr>
          <w:rFonts w:ascii="Garamond" w:hAnsi="Garamond" w:cs="Times New Roman"/>
          <w:color w:val="000000" w:themeColor="text1"/>
        </w:rPr>
        <w:t>protection</w:t>
      </w:r>
      <w:proofErr w:type="spellEnd"/>
      <w:r w:rsidRPr="00156101">
        <w:rPr>
          <w:rFonts w:ascii="Garamond" w:hAnsi="Garamond" w:cs="Times New Roman"/>
          <w:color w:val="000000" w:themeColor="text1"/>
        </w:rPr>
        <w:t xml:space="preserve"> de la santé et le </w:t>
      </w:r>
      <w:proofErr w:type="spellStart"/>
      <w:r w:rsidRPr="00156101">
        <w:rPr>
          <w:rFonts w:ascii="Garamond" w:hAnsi="Garamond" w:cs="Times New Roman"/>
          <w:color w:val="000000" w:themeColor="text1"/>
        </w:rPr>
        <w:t>respect</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des</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droits</w:t>
      </w:r>
      <w:proofErr w:type="spellEnd"/>
      <w:r w:rsidRPr="00156101">
        <w:rPr>
          <w:rFonts w:ascii="Garamond" w:hAnsi="Garamond" w:cs="Times New Roman"/>
          <w:color w:val="000000" w:themeColor="text1"/>
        </w:rPr>
        <w:t xml:space="preserve"> et libertés </w:t>
      </w:r>
      <w:proofErr w:type="spellStart"/>
      <w:r w:rsidRPr="00156101">
        <w:rPr>
          <w:rFonts w:ascii="Garamond" w:hAnsi="Garamond" w:cs="Times New Roman"/>
          <w:color w:val="000000" w:themeColor="text1"/>
        </w:rPr>
        <w:t>reconnus</w:t>
      </w:r>
      <w:proofErr w:type="spellEnd"/>
      <w:r w:rsidRPr="00156101">
        <w:rPr>
          <w:rFonts w:ascii="Garamond" w:hAnsi="Garamond" w:cs="Times New Roman"/>
          <w:color w:val="000000" w:themeColor="text1"/>
        </w:rPr>
        <w:t xml:space="preserve"> à </w:t>
      </w:r>
      <w:proofErr w:type="spellStart"/>
      <w:r w:rsidRPr="00156101">
        <w:rPr>
          <w:rFonts w:ascii="Garamond" w:hAnsi="Garamond" w:cs="Times New Roman"/>
          <w:color w:val="000000" w:themeColor="text1"/>
        </w:rPr>
        <w:t>toutes</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les</w:t>
      </w:r>
      <w:proofErr w:type="spellEnd"/>
      <w:r w:rsidRPr="00156101">
        <w:rPr>
          <w:rFonts w:ascii="Garamond" w:hAnsi="Garamond" w:cs="Times New Roman"/>
          <w:color w:val="000000" w:themeColor="text1"/>
        </w:rPr>
        <w:t xml:space="preserve"> </w:t>
      </w:r>
      <w:proofErr w:type="spellStart"/>
      <w:r w:rsidRPr="00156101">
        <w:rPr>
          <w:rFonts w:ascii="Garamond" w:hAnsi="Garamond" w:cs="Times New Roman"/>
          <w:color w:val="000000" w:themeColor="text1"/>
        </w:rPr>
        <w:t>personnes</w:t>
      </w:r>
      <w:proofErr w:type="spellEnd"/>
      <w:r w:rsidRPr="00156101">
        <w:rPr>
          <w:rFonts w:ascii="Garamond" w:hAnsi="Garamond" w:cs="Times New Roman"/>
          <w:color w:val="000000" w:themeColor="text1"/>
        </w:rPr>
        <w:t xml:space="preserve"> qui </w:t>
      </w:r>
      <w:proofErr w:type="spellStart"/>
      <w:r w:rsidRPr="00156101">
        <w:rPr>
          <w:rFonts w:ascii="Garamond" w:hAnsi="Garamond" w:cs="Times New Roman"/>
          <w:color w:val="000000" w:themeColor="text1"/>
        </w:rPr>
        <w:t>résident</w:t>
      </w:r>
      <w:proofErr w:type="spellEnd"/>
      <w:r w:rsidRPr="00156101">
        <w:rPr>
          <w:rFonts w:ascii="Garamond" w:hAnsi="Garamond" w:cs="Times New Roman"/>
          <w:color w:val="000000" w:themeColor="text1"/>
        </w:rPr>
        <w:t xml:space="preserve"> sur le </w:t>
      </w:r>
      <w:proofErr w:type="spellStart"/>
      <w:r w:rsidRPr="00156101">
        <w:rPr>
          <w:rFonts w:ascii="Garamond" w:hAnsi="Garamond" w:cs="Times New Roman"/>
          <w:color w:val="000000" w:themeColor="text1"/>
        </w:rPr>
        <w:t>territoire</w:t>
      </w:r>
      <w:proofErr w:type="spellEnd"/>
      <w:r w:rsidRPr="00156101">
        <w:rPr>
          <w:rFonts w:ascii="Garamond" w:hAnsi="Garamond" w:cs="Times New Roman"/>
          <w:color w:val="000000" w:themeColor="text1"/>
        </w:rPr>
        <w:t xml:space="preserve"> de la République</w:t>
      </w:r>
      <w:r w:rsidRPr="00B935F1">
        <w:rPr>
          <w:rFonts w:ascii="Garamond" w:hAnsi="Garamond" w:cs="Times New Roman"/>
          <w:color w:val="000000" w:themeColor="text1"/>
        </w:rPr>
        <w:t>».</w:t>
      </w:r>
    </w:p>
  </w:footnote>
  <w:footnote w:id="52">
    <w:p w14:paraId="21653A27" w14:textId="3759FEE2" w:rsidR="006B1761" w:rsidRPr="00B935F1" w:rsidRDefault="006B1761" w:rsidP="00B67169">
      <w:pPr>
        <w:pStyle w:val="Testonotaapidipagina"/>
        <w:jc w:val="both"/>
        <w:rPr>
          <w:rFonts w:ascii="Garamond" w:hAnsi="Garamond" w:cs="Times New Roman"/>
          <w:color w:val="000000" w:themeColor="text1"/>
          <w:lang w:val="en-US"/>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lang w:val="en-US"/>
        </w:rPr>
        <w:t xml:space="preserve"> </w:t>
      </w:r>
      <w:r w:rsidRPr="00156101">
        <w:rPr>
          <w:rFonts w:ascii="Garamond" w:hAnsi="Garamond" w:cs="Times New Roman"/>
          <w:color w:val="000000" w:themeColor="text1"/>
          <w:lang w:val="en-US"/>
        </w:rPr>
        <w:t xml:space="preserve">Conseil </w:t>
      </w:r>
      <w:proofErr w:type="spellStart"/>
      <w:r w:rsidRPr="00156101">
        <w:rPr>
          <w:rFonts w:ascii="Garamond" w:hAnsi="Garamond" w:cs="Times New Roman"/>
          <w:color w:val="000000" w:themeColor="text1"/>
          <w:lang w:val="en-US"/>
        </w:rPr>
        <w:t>Constitutionnel</w:t>
      </w:r>
      <w:proofErr w:type="spellEnd"/>
      <w:r w:rsidRPr="00B935F1">
        <w:rPr>
          <w:rFonts w:ascii="Garamond" w:hAnsi="Garamond" w:cs="Times New Roman"/>
          <w:color w:val="000000" w:themeColor="text1"/>
          <w:lang w:val="en-US"/>
        </w:rPr>
        <w:t xml:space="preserve"> cit., </w:t>
      </w:r>
      <w:proofErr w:type="spellStart"/>
      <w:r w:rsidRPr="00156101">
        <w:rPr>
          <w:rFonts w:ascii="Garamond" w:hAnsi="Garamond" w:cs="Times New Roman"/>
          <w:color w:val="000000" w:themeColor="text1"/>
          <w:lang w:val="en-US"/>
        </w:rPr>
        <w:t>paragraphe</w:t>
      </w:r>
      <w:proofErr w:type="spellEnd"/>
      <w:r w:rsidRPr="00EC6134">
        <w:rPr>
          <w:rFonts w:ascii="Garamond" w:hAnsi="Garamond" w:cs="Times New Roman"/>
          <w:color w:val="000000" w:themeColor="text1"/>
          <w:lang w:val="en-US"/>
        </w:rPr>
        <w:t xml:space="preserve"> </w:t>
      </w:r>
      <w:r w:rsidRPr="00B935F1">
        <w:rPr>
          <w:rFonts w:ascii="Garamond" w:hAnsi="Garamond" w:cs="Times New Roman"/>
          <w:color w:val="000000" w:themeColor="text1"/>
          <w:lang w:val="en-US"/>
        </w:rPr>
        <w:t xml:space="preserve">38-39: </w:t>
      </w:r>
      <w:proofErr w:type="gramStart"/>
      <w:r w:rsidRPr="00156101">
        <w:rPr>
          <w:rFonts w:ascii="Garamond" w:hAnsi="Garamond" w:cs="Times New Roman"/>
          <w:color w:val="000000" w:themeColor="text1"/>
          <w:lang w:val="en-US"/>
        </w:rPr>
        <w:t>«</w:t>
      </w:r>
      <w:r w:rsidRPr="00B935F1">
        <w:rPr>
          <w:rFonts w:ascii="Garamond" w:hAnsi="Garamond" w:cs="Times New Roman"/>
          <w:color w:val="000000" w:themeColor="text1"/>
          <w:lang w:val="en-US"/>
        </w:rPr>
        <w:t>(</w:t>
      </w:r>
      <w:proofErr w:type="gramEnd"/>
      <w:r w:rsidRPr="00B935F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En</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l'état</w:t>
      </w:r>
      <w:proofErr w:type="spellEnd"/>
      <w:r w:rsidRPr="00156101">
        <w:rPr>
          <w:rFonts w:ascii="Garamond" w:hAnsi="Garamond" w:cs="Times New Roman"/>
          <w:color w:val="000000" w:themeColor="text1"/>
          <w:lang w:val="en-US"/>
        </w:rPr>
        <w:t xml:space="preserve"> des </w:t>
      </w:r>
      <w:proofErr w:type="spellStart"/>
      <w:r w:rsidRPr="00156101">
        <w:rPr>
          <w:rFonts w:ascii="Garamond" w:hAnsi="Garamond" w:cs="Times New Roman"/>
          <w:color w:val="000000" w:themeColor="text1"/>
          <w:lang w:val="en-US"/>
        </w:rPr>
        <w:t>connaissances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scientifiques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dont</w:t>
      </w:r>
      <w:proofErr w:type="spellEnd"/>
      <w:r w:rsidRPr="00156101">
        <w:rPr>
          <w:rFonts w:ascii="Garamond" w:hAnsi="Garamond" w:cs="Times New Roman"/>
          <w:color w:val="000000" w:themeColor="text1"/>
          <w:lang w:val="en-US"/>
        </w:rPr>
        <w:t xml:space="preserve"> il </w:t>
      </w:r>
      <w:proofErr w:type="spellStart"/>
      <w:r w:rsidRPr="00156101">
        <w:rPr>
          <w:rFonts w:ascii="Garamond" w:hAnsi="Garamond" w:cs="Times New Roman"/>
          <w:color w:val="000000" w:themeColor="text1"/>
          <w:lang w:val="en-US"/>
        </w:rPr>
        <w:t>disposait</w:t>
      </w:r>
      <w:proofErr w:type="spellEnd"/>
      <w:r w:rsidRPr="00156101">
        <w:rPr>
          <w:rFonts w:ascii="Garamond" w:hAnsi="Garamond" w:cs="Times New Roman"/>
          <w:color w:val="000000" w:themeColor="text1"/>
          <w:lang w:val="en-US"/>
        </w:rPr>
        <w:t xml:space="preserve">, les </w:t>
      </w:r>
      <w:proofErr w:type="spellStart"/>
      <w:r w:rsidRPr="00156101">
        <w:rPr>
          <w:rFonts w:ascii="Garamond" w:hAnsi="Garamond" w:cs="Times New Roman"/>
          <w:color w:val="000000" w:themeColor="text1"/>
          <w:lang w:val="en-US"/>
        </w:rPr>
        <w:t>risques</w:t>
      </w:r>
      <w:proofErr w:type="spellEnd"/>
      <w:r w:rsidRPr="00156101">
        <w:rPr>
          <w:rFonts w:ascii="Garamond" w:hAnsi="Garamond" w:cs="Times New Roman"/>
          <w:color w:val="000000" w:themeColor="text1"/>
          <w:lang w:val="en-US"/>
        </w:rPr>
        <w:t xml:space="preserve"> de circulation du virus de la covid-19 </w:t>
      </w:r>
      <w:proofErr w:type="spellStart"/>
      <w:r w:rsidRPr="00156101">
        <w:rPr>
          <w:rFonts w:ascii="Garamond" w:hAnsi="Garamond" w:cs="Times New Roman"/>
          <w:color w:val="000000" w:themeColor="text1"/>
          <w:lang w:val="en-US"/>
        </w:rPr>
        <w:t>sont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fortement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réduits</w:t>
      </w:r>
      <w:proofErr w:type="spellEnd"/>
      <w:r w:rsidRPr="00156101">
        <w:rPr>
          <w:rFonts w:ascii="Garamond" w:hAnsi="Garamond" w:cs="Times New Roman"/>
          <w:color w:val="000000" w:themeColor="text1"/>
          <w:lang w:val="en-US"/>
        </w:rPr>
        <w:t xml:space="preserve"> entre des </w:t>
      </w:r>
      <w:proofErr w:type="spellStart"/>
      <w:r w:rsidRPr="00156101">
        <w:rPr>
          <w:rFonts w:ascii="Garamond" w:hAnsi="Garamond" w:cs="Times New Roman"/>
          <w:color w:val="000000" w:themeColor="text1"/>
          <w:lang w:val="en-US"/>
        </w:rPr>
        <w:t>personnes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vaccinées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rétablies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ou</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venant</w:t>
      </w:r>
      <w:proofErr w:type="spellEnd"/>
      <w:r w:rsidRPr="00156101">
        <w:rPr>
          <w:rFonts w:ascii="Garamond" w:hAnsi="Garamond" w:cs="Times New Roman"/>
          <w:color w:val="000000" w:themeColor="text1"/>
          <w:lang w:val="en-US"/>
        </w:rPr>
        <w:t xml:space="preserve"> de </w:t>
      </w:r>
      <w:proofErr w:type="spellStart"/>
      <w:r w:rsidRPr="00156101">
        <w:rPr>
          <w:rFonts w:ascii="Garamond" w:hAnsi="Garamond" w:cs="Times New Roman"/>
          <w:color w:val="000000" w:themeColor="text1"/>
          <w:lang w:val="en-US"/>
        </w:rPr>
        <w:t>réaliser</w:t>
      </w:r>
      <w:proofErr w:type="spellEnd"/>
      <w:r w:rsidRPr="00156101">
        <w:rPr>
          <w:rFonts w:ascii="Garamond" w:hAnsi="Garamond" w:cs="Times New Roman"/>
          <w:color w:val="000000" w:themeColor="text1"/>
          <w:lang w:val="en-US"/>
        </w:rPr>
        <w:t xml:space="preserve"> un test de </w:t>
      </w:r>
      <w:proofErr w:type="spellStart"/>
      <w:r w:rsidRPr="00156101">
        <w:rPr>
          <w:rFonts w:ascii="Garamond" w:hAnsi="Garamond" w:cs="Times New Roman"/>
          <w:color w:val="000000" w:themeColor="text1"/>
          <w:lang w:val="en-US"/>
        </w:rPr>
        <w:t>dépistage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dont</w:t>
      </w:r>
      <w:proofErr w:type="spellEnd"/>
      <w:r w:rsidRPr="00156101">
        <w:rPr>
          <w:rFonts w:ascii="Garamond" w:hAnsi="Garamond" w:cs="Times New Roman"/>
          <w:color w:val="000000" w:themeColor="text1"/>
          <w:lang w:val="en-US"/>
        </w:rPr>
        <w:t xml:space="preserve"> le </w:t>
      </w:r>
      <w:proofErr w:type="spellStart"/>
      <w:r w:rsidRPr="00156101">
        <w:rPr>
          <w:rFonts w:ascii="Garamond" w:hAnsi="Garamond" w:cs="Times New Roman"/>
          <w:color w:val="000000" w:themeColor="text1"/>
          <w:lang w:val="en-US"/>
        </w:rPr>
        <w:t>résultat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est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négatif</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En</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deuxième</w:t>
      </w:r>
      <w:proofErr w:type="spellEnd"/>
      <w:r w:rsidRPr="00156101">
        <w:rPr>
          <w:rFonts w:ascii="Garamond" w:hAnsi="Garamond" w:cs="Times New Roman"/>
          <w:color w:val="000000" w:themeColor="text1"/>
          <w:lang w:val="en-US"/>
        </w:rPr>
        <w:t xml:space="preserve"> lieu, </w:t>
      </w:r>
      <w:proofErr w:type="spellStart"/>
      <w:r w:rsidRPr="00156101">
        <w:rPr>
          <w:rFonts w:ascii="Garamond" w:hAnsi="Garamond" w:cs="Times New Roman"/>
          <w:color w:val="000000" w:themeColor="text1"/>
          <w:lang w:val="en-US"/>
        </w:rPr>
        <w:t>ces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mesures</w:t>
      </w:r>
      <w:proofErr w:type="spellEnd"/>
      <w:r w:rsidRPr="00156101">
        <w:rPr>
          <w:rFonts w:ascii="Garamond" w:hAnsi="Garamond" w:cs="Times New Roman"/>
          <w:color w:val="000000" w:themeColor="text1"/>
          <w:lang w:val="en-US"/>
        </w:rPr>
        <w:t xml:space="preserve"> ne </w:t>
      </w:r>
      <w:proofErr w:type="spellStart"/>
      <w:r w:rsidRPr="00156101">
        <w:rPr>
          <w:rFonts w:ascii="Garamond" w:hAnsi="Garamond" w:cs="Times New Roman"/>
          <w:color w:val="000000" w:themeColor="text1"/>
          <w:lang w:val="en-US"/>
        </w:rPr>
        <w:t>peuvent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être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prononcées</w:t>
      </w:r>
      <w:proofErr w:type="spellEnd"/>
      <w:r w:rsidRPr="00156101">
        <w:rPr>
          <w:rFonts w:ascii="Garamond" w:hAnsi="Garamond" w:cs="Times New Roman"/>
          <w:color w:val="000000" w:themeColor="text1"/>
          <w:lang w:val="en-US"/>
        </w:rPr>
        <w:t xml:space="preserve"> que pour la p </w:t>
      </w:r>
      <w:proofErr w:type="spellStart"/>
      <w:r w:rsidRPr="00156101">
        <w:rPr>
          <w:rFonts w:ascii="Garamond" w:hAnsi="Garamond" w:cs="Times New Roman"/>
          <w:color w:val="000000" w:themeColor="text1"/>
          <w:lang w:val="en-US"/>
        </w:rPr>
        <w:t>ériode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allant</w:t>
      </w:r>
      <w:proofErr w:type="spellEnd"/>
      <w:r w:rsidRPr="00156101">
        <w:rPr>
          <w:rFonts w:ascii="Garamond" w:hAnsi="Garamond" w:cs="Times New Roman"/>
          <w:color w:val="000000" w:themeColor="text1"/>
          <w:lang w:val="en-US"/>
        </w:rPr>
        <w:t xml:space="preserve"> de </w:t>
      </w:r>
      <w:proofErr w:type="spellStart"/>
      <w:r w:rsidRPr="00156101">
        <w:rPr>
          <w:rFonts w:ascii="Garamond" w:hAnsi="Garamond" w:cs="Times New Roman"/>
          <w:color w:val="000000" w:themeColor="text1"/>
          <w:lang w:val="en-US"/>
        </w:rPr>
        <w:t>l'entrée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en</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vigueur</w:t>
      </w:r>
      <w:proofErr w:type="spellEnd"/>
      <w:r w:rsidRPr="00156101">
        <w:rPr>
          <w:rFonts w:ascii="Garamond" w:hAnsi="Garamond" w:cs="Times New Roman"/>
          <w:color w:val="000000" w:themeColor="text1"/>
          <w:lang w:val="en-US"/>
        </w:rPr>
        <w:t xml:space="preserve"> de la </w:t>
      </w:r>
      <w:proofErr w:type="spellStart"/>
      <w:r w:rsidRPr="00156101">
        <w:rPr>
          <w:rFonts w:ascii="Garamond" w:hAnsi="Garamond" w:cs="Times New Roman"/>
          <w:color w:val="000000" w:themeColor="text1"/>
          <w:lang w:val="en-US"/>
        </w:rPr>
        <w:t>loi</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déférée</w:t>
      </w:r>
      <w:proofErr w:type="spellEnd"/>
      <w:r w:rsidRPr="00156101">
        <w:rPr>
          <w:rFonts w:ascii="Garamond" w:hAnsi="Garamond" w:cs="Times New Roman"/>
          <w:color w:val="000000" w:themeColor="text1"/>
          <w:lang w:val="en-US"/>
        </w:rPr>
        <w:t xml:space="preserve"> au 15 </w:t>
      </w:r>
      <w:proofErr w:type="spellStart"/>
      <w:r w:rsidRPr="00156101">
        <w:rPr>
          <w:rFonts w:ascii="Garamond" w:hAnsi="Garamond" w:cs="Times New Roman"/>
          <w:color w:val="000000" w:themeColor="text1"/>
          <w:lang w:val="en-US"/>
        </w:rPr>
        <w:t>novembre</w:t>
      </w:r>
      <w:proofErr w:type="spellEnd"/>
      <w:r w:rsidRPr="00156101">
        <w:rPr>
          <w:rFonts w:ascii="Garamond" w:hAnsi="Garamond" w:cs="Times New Roman"/>
          <w:color w:val="000000" w:themeColor="text1"/>
          <w:lang w:val="en-US"/>
        </w:rPr>
        <w:t xml:space="preserve"> 2021, </w:t>
      </w:r>
      <w:proofErr w:type="spellStart"/>
      <w:r w:rsidRPr="00156101">
        <w:rPr>
          <w:rFonts w:ascii="Garamond" w:hAnsi="Garamond" w:cs="Times New Roman"/>
          <w:color w:val="000000" w:themeColor="text1"/>
          <w:lang w:val="en-US"/>
        </w:rPr>
        <w:t>période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durant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laquelle</w:t>
      </w:r>
      <w:proofErr w:type="spellEnd"/>
      <w:r w:rsidRPr="00156101">
        <w:rPr>
          <w:rFonts w:ascii="Garamond" w:hAnsi="Garamond" w:cs="Times New Roman"/>
          <w:color w:val="000000" w:themeColor="text1"/>
          <w:lang w:val="en-US"/>
        </w:rPr>
        <w:t xml:space="preserve"> le </w:t>
      </w:r>
      <w:proofErr w:type="spellStart"/>
      <w:r w:rsidRPr="00156101">
        <w:rPr>
          <w:rFonts w:ascii="Garamond" w:hAnsi="Garamond" w:cs="Times New Roman"/>
          <w:color w:val="000000" w:themeColor="text1"/>
          <w:lang w:val="en-US"/>
        </w:rPr>
        <w:t>législateur</w:t>
      </w:r>
      <w:proofErr w:type="spellEnd"/>
      <w:r w:rsidRPr="00156101">
        <w:rPr>
          <w:rFonts w:ascii="Garamond" w:hAnsi="Garamond" w:cs="Times New Roman"/>
          <w:color w:val="000000" w:themeColor="text1"/>
          <w:lang w:val="en-US"/>
        </w:rPr>
        <w:t xml:space="preserve"> a </w:t>
      </w:r>
      <w:proofErr w:type="spellStart"/>
      <w:r w:rsidRPr="00156101">
        <w:rPr>
          <w:rFonts w:ascii="Garamond" w:hAnsi="Garamond" w:cs="Times New Roman"/>
          <w:color w:val="000000" w:themeColor="text1"/>
          <w:lang w:val="en-US"/>
        </w:rPr>
        <w:t>estimé</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qu'un</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risque</w:t>
      </w:r>
      <w:proofErr w:type="spellEnd"/>
      <w:r w:rsidRPr="00156101">
        <w:rPr>
          <w:rFonts w:ascii="Garamond" w:hAnsi="Garamond" w:cs="Times New Roman"/>
          <w:color w:val="000000" w:themeColor="text1"/>
          <w:lang w:val="en-US"/>
        </w:rPr>
        <w:t xml:space="preserve"> important de propagation de </w:t>
      </w:r>
      <w:proofErr w:type="spellStart"/>
      <w:r w:rsidRPr="00156101">
        <w:rPr>
          <w:rFonts w:ascii="Garamond" w:hAnsi="Garamond" w:cs="Times New Roman"/>
          <w:color w:val="000000" w:themeColor="text1"/>
          <w:lang w:val="en-US"/>
        </w:rPr>
        <w:t>l'épidémie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existait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en</w:t>
      </w:r>
      <w:proofErr w:type="spellEnd"/>
      <w:r w:rsidRPr="00156101">
        <w:rPr>
          <w:rFonts w:ascii="Garamond" w:hAnsi="Garamond" w:cs="Times New Roman"/>
          <w:color w:val="000000" w:themeColor="text1"/>
          <w:lang w:val="en-US"/>
        </w:rPr>
        <w:t xml:space="preserve"> raison de </w:t>
      </w:r>
      <w:proofErr w:type="spellStart"/>
      <w:r w:rsidRPr="00156101">
        <w:rPr>
          <w:rFonts w:ascii="Garamond" w:hAnsi="Garamond" w:cs="Times New Roman"/>
          <w:color w:val="000000" w:themeColor="text1"/>
          <w:lang w:val="en-US"/>
        </w:rPr>
        <w:t>l'apparition</w:t>
      </w:r>
      <w:proofErr w:type="spellEnd"/>
      <w:r w:rsidRPr="00156101">
        <w:rPr>
          <w:rFonts w:ascii="Garamond" w:hAnsi="Garamond" w:cs="Times New Roman"/>
          <w:color w:val="000000" w:themeColor="text1"/>
          <w:lang w:val="en-US"/>
        </w:rPr>
        <w:t xml:space="preserve"> de nouveaux variants du virus plus </w:t>
      </w:r>
      <w:proofErr w:type="spellStart"/>
      <w:r w:rsidRPr="00156101">
        <w:rPr>
          <w:rFonts w:ascii="Garamond" w:hAnsi="Garamond" w:cs="Times New Roman"/>
          <w:color w:val="000000" w:themeColor="text1"/>
          <w:lang w:val="en-US"/>
        </w:rPr>
        <w:t>contagieux</w:t>
      </w:r>
      <w:proofErr w:type="spellEnd"/>
      <w:r w:rsidRPr="00B935F1">
        <w:rPr>
          <w:rFonts w:ascii="Garamond" w:hAnsi="Garamond" w:cs="Times New Roman"/>
          <w:color w:val="000000" w:themeColor="text1"/>
          <w:lang w:val="en-US"/>
        </w:rPr>
        <w:t>».</w:t>
      </w:r>
    </w:p>
  </w:footnote>
  <w:footnote w:id="53">
    <w:p w14:paraId="4374B7CB" w14:textId="60B61294" w:rsidR="006B1761" w:rsidRPr="00B935F1" w:rsidRDefault="006B1761" w:rsidP="00B67169">
      <w:pPr>
        <w:pStyle w:val="Testonotaapidipagina"/>
        <w:jc w:val="both"/>
        <w:rPr>
          <w:rFonts w:ascii="Garamond" w:hAnsi="Garamond" w:cs="Times New Roman"/>
          <w:color w:val="000000" w:themeColor="text1"/>
          <w:lang w:val="en-US"/>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Paragraph</w:t>
      </w:r>
      <w:r w:rsidRPr="00B935F1">
        <w:rPr>
          <w:rFonts w:ascii="Garamond" w:hAnsi="Garamond" w:cs="Times New Roman"/>
          <w:i/>
          <w:color w:val="000000" w:themeColor="text1"/>
          <w:lang w:val="en-US"/>
        </w:rPr>
        <w:t>e</w:t>
      </w:r>
      <w:proofErr w:type="spellEnd"/>
      <w:r w:rsidRPr="00B935F1">
        <w:rPr>
          <w:rFonts w:ascii="Garamond" w:hAnsi="Garamond" w:cs="Times New Roman"/>
          <w:color w:val="000000" w:themeColor="text1"/>
          <w:lang w:val="en-US"/>
        </w:rPr>
        <w:t xml:space="preserve"> 41: </w:t>
      </w:r>
      <w:proofErr w:type="gramStart"/>
      <w:r w:rsidRPr="00156101">
        <w:rPr>
          <w:rFonts w:ascii="Garamond" w:hAnsi="Garamond" w:cs="Times New Roman"/>
          <w:color w:val="000000" w:themeColor="text1"/>
          <w:lang w:val="en-US"/>
        </w:rPr>
        <w:t>«</w:t>
      </w:r>
      <w:r w:rsidRPr="00B935F1">
        <w:rPr>
          <w:rFonts w:ascii="Garamond" w:hAnsi="Garamond" w:cs="Times New Roman"/>
          <w:color w:val="000000" w:themeColor="text1"/>
          <w:lang w:val="en-US"/>
        </w:rPr>
        <w:t>(</w:t>
      </w:r>
      <w:proofErr w:type="gramEnd"/>
      <w:r w:rsidRPr="00B935F1">
        <w:rPr>
          <w:rFonts w:ascii="Garamond" w:hAnsi="Garamond" w:cs="Times New Roman"/>
          <w:color w:val="000000" w:themeColor="text1"/>
          <w:lang w:val="en-US"/>
        </w:rPr>
        <w:t xml:space="preserve">…) </w:t>
      </w:r>
      <w:r w:rsidRPr="00156101">
        <w:rPr>
          <w:rFonts w:ascii="Garamond" w:hAnsi="Garamond" w:cs="Times New Roman"/>
          <w:color w:val="000000" w:themeColor="text1"/>
          <w:lang w:val="en-US"/>
        </w:rPr>
        <w:t xml:space="preserve">Le </w:t>
      </w:r>
      <w:proofErr w:type="spellStart"/>
      <w:r w:rsidRPr="00156101">
        <w:rPr>
          <w:rFonts w:ascii="Garamond" w:hAnsi="Garamond" w:cs="Times New Roman"/>
          <w:color w:val="000000" w:themeColor="text1"/>
          <w:lang w:val="en-US"/>
        </w:rPr>
        <w:t>législateur</w:t>
      </w:r>
      <w:proofErr w:type="spellEnd"/>
      <w:r w:rsidRPr="00156101">
        <w:rPr>
          <w:rFonts w:ascii="Garamond" w:hAnsi="Garamond" w:cs="Times New Roman"/>
          <w:color w:val="000000" w:themeColor="text1"/>
          <w:lang w:val="en-US"/>
        </w:rPr>
        <w:t xml:space="preserve"> a </w:t>
      </w:r>
      <w:proofErr w:type="spellStart"/>
      <w:r w:rsidRPr="00156101">
        <w:rPr>
          <w:rFonts w:ascii="Garamond" w:hAnsi="Garamond" w:cs="Times New Roman"/>
          <w:color w:val="000000" w:themeColor="text1"/>
          <w:lang w:val="en-US"/>
        </w:rPr>
        <w:t>réservé</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leur</w:t>
      </w:r>
      <w:proofErr w:type="spellEnd"/>
      <w:r w:rsidRPr="00156101">
        <w:rPr>
          <w:rFonts w:ascii="Garamond" w:hAnsi="Garamond" w:cs="Times New Roman"/>
          <w:color w:val="000000" w:themeColor="text1"/>
          <w:lang w:val="en-US"/>
        </w:rPr>
        <w:t xml:space="preserve"> application à des </w:t>
      </w:r>
      <w:proofErr w:type="spellStart"/>
      <w:r w:rsidRPr="00156101">
        <w:rPr>
          <w:rFonts w:ascii="Garamond" w:hAnsi="Garamond" w:cs="Times New Roman"/>
          <w:color w:val="000000" w:themeColor="text1"/>
          <w:lang w:val="en-US"/>
        </w:rPr>
        <w:t>activités</w:t>
      </w:r>
      <w:proofErr w:type="spellEnd"/>
      <w:r w:rsidRPr="00156101">
        <w:rPr>
          <w:rFonts w:ascii="Garamond" w:hAnsi="Garamond" w:cs="Times New Roman"/>
          <w:color w:val="000000" w:themeColor="text1"/>
          <w:lang w:val="en-US"/>
        </w:rPr>
        <w:t xml:space="preserve"> qui </w:t>
      </w:r>
      <w:proofErr w:type="spellStart"/>
      <w:r w:rsidRPr="00156101">
        <w:rPr>
          <w:rFonts w:ascii="Garamond" w:hAnsi="Garamond" w:cs="Times New Roman"/>
          <w:color w:val="000000" w:themeColor="text1"/>
          <w:lang w:val="en-US"/>
        </w:rPr>
        <w:t>mettent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en</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présence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simultanément</w:t>
      </w:r>
      <w:proofErr w:type="spellEnd"/>
      <w:r w:rsidRPr="00156101">
        <w:rPr>
          <w:rFonts w:ascii="Garamond" w:hAnsi="Garamond" w:cs="Times New Roman"/>
          <w:color w:val="000000" w:themeColor="text1"/>
          <w:lang w:val="en-US"/>
        </w:rPr>
        <w:t xml:space="preserve"> un </w:t>
      </w:r>
      <w:proofErr w:type="spellStart"/>
      <w:r w:rsidRPr="00156101">
        <w:rPr>
          <w:rFonts w:ascii="Garamond" w:hAnsi="Garamond" w:cs="Times New Roman"/>
          <w:color w:val="000000" w:themeColor="text1"/>
          <w:lang w:val="en-US"/>
        </w:rPr>
        <w:t>nombre</w:t>
      </w:r>
      <w:proofErr w:type="spellEnd"/>
      <w:r w:rsidRPr="00156101">
        <w:rPr>
          <w:rFonts w:ascii="Garamond" w:hAnsi="Garamond" w:cs="Times New Roman"/>
          <w:color w:val="000000" w:themeColor="text1"/>
          <w:lang w:val="en-US"/>
        </w:rPr>
        <w:t xml:space="preserve"> important de </w:t>
      </w:r>
      <w:proofErr w:type="spellStart"/>
      <w:r w:rsidRPr="00156101">
        <w:rPr>
          <w:rFonts w:ascii="Garamond" w:hAnsi="Garamond" w:cs="Times New Roman"/>
          <w:color w:val="000000" w:themeColor="text1"/>
          <w:lang w:val="en-US"/>
        </w:rPr>
        <w:t>personnes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en</w:t>
      </w:r>
      <w:proofErr w:type="spellEnd"/>
      <w:r w:rsidRPr="00156101">
        <w:rPr>
          <w:rFonts w:ascii="Garamond" w:hAnsi="Garamond" w:cs="Times New Roman"/>
          <w:color w:val="000000" w:themeColor="text1"/>
          <w:lang w:val="en-US"/>
        </w:rPr>
        <w:t xml:space="preserve"> un </w:t>
      </w:r>
      <w:proofErr w:type="spellStart"/>
      <w:r w:rsidRPr="00156101">
        <w:rPr>
          <w:rFonts w:ascii="Garamond" w:hAnsi="Garamond" w:cs="Times New Roman"/>
          <w:color w:val="000000" w:themeColor="text1"/>
          <w:lang w:val="en-US"/>
        </w:rPr>
        <w:t>même</w:t>
      </w:r>
      <w:proofErr w:type="spellEnd"/>
      <w:r w:rsidRPr="00156101">
        <w:rPr>
          <w:rFonts w:ascii="Garamond" w:hAnsi="Garamond" w:cs="Times New Roman"/>
          <w:color w:val="000000" w:themeColor="text1"/>
          <w:lang w:val="en-US"/>
        </w:rPr>
        <w:t xml:space="preserve"> lieu et </w:t>
      </w:r>
      <w:proofErr w:type="spellStart"/>
      <w:r w:rsidRPr="00156101">
        <w:rPr>
          <w:rFonts w:ascii="Garamond" w:hAnsi="Garamond" w:cs="Times New Roman"/>
          <w:color w:val="000000" w:themeColor="text1"/>
          <w:lang w:val="en-US"/>
        </w:rPr>
        <w:t>présentent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ainsi</w:t>
      </w:r>
      <w:proofErr w:type="spellEnd"/>
      <w:r w:rsidRPr="00156101">
        <w:rPr>
          <w:rFonts w:ascii="Garamond" w:hAnsi="Garamond" w:cs="Times New Roman"/>
          <w:color w:val="000000" w:themeColor="text1"/>
          <w:lang w:val="en-US"/>
        </w:rPr>
        <w:t xml:space="preserve"> un </w:t>
      </w:r>
      <w:proofErr w:type="spellStart"/>
      <w:r w:rsidRPr="00156101">
        <w:rPr>
          <w:rFonts w:ascii="Garamond" w:hAnsi="Garamond" w:cs="Times New Roman"/>
          <w:color w:val="000000" w:themeColor="text1"/>
          <w:lang w:val="en-US"/>
        </w:rPr>
        <w:t>risque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accru</w:t>
      </w:r>
      <w:proofErr w:type="spellEnd"/>
      <w:r w:rsidRPr="00156101">
        <w:rPr>
          <w:rFonts w:ascii="Garamond" w:hAnsi="Garamond" w:cs="Times New Roman"/>
          <w:color w:val="000000" w:themeColor="text1"/>
          <w:lang w:val="en-US"/>
        </w:rPr>
        <w:t xml:space="preserve"> de transmission du virus. De </w:t>
      </w:r>
      <w:proofErr w:type="spellStart"/>
      <w:r w:rsidRPr="00156101">
        <w:rPr>
          <w:rFonts w:ascii="Garamond" w:hAnsi="Garamond" w:cs="Times New Roman"/>
          <w:color w:val="000000" w:themeColor="text1"/>
          <w:lang w:val="en-US"/>
        </w:rPr>
        <w:t>même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en</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prévoyant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l'application</w:t>
      </w:r>
      <w:proofErr w:type="spellEnd"/>
      <w:r w:rsidRPr="00156101">
        <w:rPr>
          <w:rFonts w:ascii="Garamond" w:hAnsi="Garamond" w:cs="Times New Roman"/>
          <w:color w:val="000000" w:themeColor="text1"/>
          <w:lang w:val="en-US"/>
        </w:rPr>
        <w:t xml:space="preserve"> de </w:t>
      </w:r>
      <w:proofErr w:type="spellStart"/>
      <w:r w:rsidRPr="00156101">
        <w:rPr>
          <w:rFonts w:ascii="Garamond" w:hAnsi="Garamond" w:cs="Times New Roman"/>
          <w:color w:val="000000" w:themeColor="text1"/>
          <w:lang w:val="en-US"/>
        </w:rPr>
        <w:t>ces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mêmes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mesures</w:t>
      </w:r>
      <w:proofErr w:type="spellEnd"/>
      <w:r w:rsidRPr="00156101">
        <w:rPr>
          <w:rFonts w:ascii="Garamond" w:hAnsi="Garamond" w:cs="Times New Roman"/>
          <w:color w:val="000000" w:themeColor="text1"/>
          <w:lang w:val="en-US"/>
        </w:rPr>
        <w:t xml:space="preserve"> aux services et </w:t>
      </w:r>
      <w:proofErr w:type="spellStart"/>
      <w:r w:rsidRPr="00156101">
        <w:rPr>
          <w:rFonts w:ascii="Garamond" w:hAnsi="Garamond" w:cs="Times New Roman"/>
          <w:color w:val="000000" w:themeColor="text1"/>
          <w:lang w:val="en-US"/>
        </w:rPr>
        <w:t>établissements</w:t>
      </w:r>
      <w:proofErr w:type="spellEnd"/>
      <w:r w:rsidRPr="00156101">
        <w:rPr>
          <w:rFonts w:ascii="Garamond" w:hAnsi="Garamond" w:cs="Times New Roman"/>
          <w:color w:val="000000" w:themeColor="text1"/>
          <w:lang w:val="en-US"/>
        </w:rPr>
        <w:t xml:space="preserve"> de </w:t>
      </w:r>
      <w:proofErr w:type="spellStart"/>
      <w:r w:rsidRPr="00156101">
        <w:rPr>
          <w:rFonts w:ascii="Garamond" w:hAnsi="Garamond" w:cs="Times New Roman"/>
          <w:color w:val="000000" w:themeColor="text1"/>
          <w:lang w:val="en-US"/>
        </w:rPr>
        <w:t>santé</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sociaux</w:t>
      </w:r>
      <w:proofErr w:type="spellEnd"/>
      <w:r w:rsidRPr="00156101">
        <w:rPr>
          <w:rFonts w:ascii="Garamond" w:hAnsi="Garamond" w:cs="Times New Roman"/>
          <w:color w:val="000000" w:themeColor="text1"/>
          <w:lang w:val="en-US"/>
        </w:rPr>
        <w:t xml:space="preserve"> et </w:t>
      </w:r>
      <w:proofErr w:type="spellStart"/>
      <w:r w:rsidRPr="00156101">
        <w:rPr>
          <w:rFonts w:ascii="Garamond" w:hAnsi="Garamond" w:cs="Times New Roman"/>
          <w:color w:val="000000" w:themeColor="text1"/>
          <w:lang w:val="en-US"/>
        </w:rPr>
        <w:t>médico-sociaux</w:t>
      </w:r>
      <w:proofErr w:type="spellEnd"/>
      <w:r w:rsidRPr="00156101">
        <w:rPr>
          <w:rFonts w:ascii="Garamond" w:hAnsi="Garamond" w:cs="Times New Roman"/>
          <w:color w:val="000000" w:themeColor="text1"/>
          <w:lang w:val="en-US"/>
        </w:rPr>
        <w:t xml:space="preserve"> </w:t>
      </w:r>
      <w:r w:rsidRPr="00EC6134">
        <w:rPr>
          <w:rFonts w:ascii="Garamond" w:hAnsi="Garamond" w:cs="Times New Roman"/>
          <w:color w:val="000000" w:themeColor="text1"/>
          <w:lang w:val="en-US"/>
        </w:rPr>
        <w:t xml:space="preserve">(…) le </w:t>
      </w:r>
      <w:proofErr w:type="spellStart"/>
      <w:r w:rsidRPr="00156101">
        <w:rPr>
          <w:rFonts w:ascii="Garamond" w:hAnsi="Garamond" w:cs="Times New Roman"/>
          <w:color w:val="000000" w:themeColor="text1"/>
          <w:lang w:val="en-US"/>
        </w:rPr>
        <w:t>législateur</w:t>
      </w:r>
      <w:proofErr w:type="spellEnd"/>
      <w:r w:rsidRPr="00156101">
        <w:rPr>
          <w:rFonts w:ascii="Garamond" w:hAnsi="Garamond" w:cs="Times New Roman"/>
          <w:color w:val="000000" w:themeColor="text1"/>
          <w:lang w:val="en-US"/>
        </w:rPr>
        <w:t xml:space="preserve"> a </w:t>
      </w:r>
      <w:proofErr w:type="spellStart"/>
      <w:r w:rsidRPr="00156101">
        <w:rPr>
          <w:rFonts w:ascii="Garamond" w:hAnsi="Garamond" w:cs="Times New Roman"/>
          <w:color w:val="000000" w:themeColor="text1"/>
          <w:lang w:val="en-US"/>
        </w:rPr>
        <w:t>circonscrit</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leur</w:t>
      </w:r>
      <w:proofErr w:type="spellEnd"/>
      <w:r w:rsidRPr="00156101">
        <w:rPr>
          <w:rFonts w:ascii="Garamond" w:hAnsi="Garamond" w:cs="Times New Roman"/>
          <w:color w:val="000000" w:themeColor="text1"/>
          <w:lang w:val="en-US"/>
        </w:rPr>
        <w:t xml:space="preserve"> application à des </w:t>
      </w:r>
      <w:proofErr w:type="spellStart"/>
      <w:r w:rsidRPr="00156101">
        <w:rPr>
          <w:rFonts w:ascii="Garamond" w:hAnsi="Garamond" w:cs="Times New Roman"/>
          <w:color w:val="000000" w:themeColor="text1"/>
          <w:lang w:val="en-US"/>
        </w:rPr>
        <w:t>lieux</w:t>
      </w:r>
      <w:proofErr w:type="spellEnd"/>
      <w:r w:rsidRPr="00156101">
        <w:rPr>
          <w:rFonts w:ascii="Garamond" w:hAnsi="Garamond" w:cs="Times New Roman"/>
          <w:color w:val="000000" w:themeColor="text1"/>
          <w:lang w:val="en-US"/>
        </w:rPr>
        <w:t xml:space="preserve"> dans </w:t>
      </w:r>
      <w:proofErr w:type="spellStart"/>
      <w:r w:rsidRPr="00156101">
        <w:rPr>
          <w:rFonts w:ascii="Garamond" w:hAnsi="Garamond" w:cs="Times New Roman"/>
          <w:color w:val="000000" w:themeColor="text1"/>
          <w:lang w:val="en-US"/>
        </w:rPr>
        <w:t>lesquels</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l'activité</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exercée</w:t>
      </w:r>
      <w:proofErr w:type="spellEnd"/>
      <w:r w:rsidRPr="00156101">
        <w:rPr>
          <w:rFonts w:ascii="Garamond" w:hAnsi="Garamond" w:cs="Times New Roman"/>
          <w:color w:val="000000" w:themeColor="text1"/>
          <w:lang w:val="en-US"/>
        </w:rPr>
        <w:t xml:space="preserve"> </w:t>
      </w:r>
      <w:proofErr w:type="spellStart"/>
      <w:r w:rsidRPr="00156101">
        <w:rPr>
          <w:rFonts w:ascii="Garamond" w:hAnsi="Garamond" w:cs="Times New Roman"/>
          <w:color w:val="000000" w:themeColor="text1"/>
          <w:lang w:val="en-US"/>
        </w:rPr>
        <w:t>présente</w:t>
      </w:r>
      <w:proofErr w:type="spellEnd"/>
      <w:r w:rsidRPr="00156101">
        <w:rPr>
          <w:rFonts w:ascii="Garamond" w:hAnsi="Garamond" w:cs="Times New Roman"/>
          <w:color w:val="000000" w:themeColor="text1"/>
          <w:lang w:val="en-US"/>
        </w:rPr>
        <w:t xml:space="preserve">, par </w:t>
      </w:r>
      <w:proofErr w:type="spellStart"/>
      <w:r w:rsidRPr="00156101">
        <w:rPr>
          <w:rFonts w:ascii="Garamond" w:hAnsi="Garamond" w:cs="Times New Roman"/>
          <w:color w:val="000000" w:themeColor="text1"/>
          <w:lang w:val="en-US"/>
        </w:rPr>
        <w:t>sa</w:t>
      </w:r>
      <w:proofErr w:type="spellEnd"/>
      <w:r w:rsidRPr="00156101">
        <w:rPr>
          <w:rFonts w:ascii="Garamond" w:hAnsi="Garamond" w:cs="Times New Roman"/>
          <w:color w:val="000000" w:themeColor="text1"/>
          <w:lang w:val="en-US"/>
        </w:rPr>
        <w:t xml:space="preserve"> nature </w:t>
      </w:r>
      <w:proofErr w:type="spellStart"/>
      <w:r w:rsidRPr="00156101">
        <w:rPr>
          <w:rFonts w:ascii="Garamond" w:hAnsi="Garamond" w:cs="Times New Roman"/>
          <w:color w:val="000000" w:themeColor="text1"/>
          <w:lang w:val="en-US"/>
        </w:rPr>
        <w:t>même</w:t>
      </w:r>
      <w:proofErr w:type="spellEnd"/>
      <w:r w:rsidRPr="00156101">
        <w:rPr>
          <w:rFonts w:ascii="Garamond" w:hAnsi="Garamond" w:cs="Times New Roman"/>
          <w:color w:val="000000" w:themeColor="text1"/>
          <w:lang w:val="en-US"/>
        </w:rPr>
        <w:t xml:space="preserve">, un </w:t>
      </w:r>
      <w:proofErr w:type="spellStart"/>
      <w:r w:rsidRPr="00156101">
        <w:rPr>
          <w:rFonts w:ascii="Garamond" w:hAnsi="Garamond" w:cs="Times New Roman"/>
          <w:color w:val="000000" w:themeColor="text1"/>
          <w:lang w:val="en-US"/>
        </w:rPr>
        <w:t>risque</w:t>
      </w:r>
      <w:proofErr w:type="spellEnd"/>
      <w:r w:rsidRPr="00156101">
        <w:rPr>
          <w:rFonts w:ascii="Garamond" w:hAnsi="Garamond" w:cs="Times New Roman"/>
          <w:color w:val="000000" w:themeColor="text1"/>
          <w:lang w:val="en-US"/>
        </w:rPr>
        <w:t xml:space="preserve"> particulier de diffusion du virus».</w:t>
      </w:r>
    </w:p>
  </w:footnote>
  <w:footnote w:id="54">
    <w:p w14:paraId="6FBBC77A" w14:textId="1023D392"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Paragraphe</w:t>
      </w:r>
      <w:proofErr w:type="spellEnd"/>
      <w:r w:rsidRPr="00EC6134">
        <w:rPr>
          <w:rFonts w:ascii="Garamond" w:hAnsi="Garamond"/>
          <w:color w:val="000000" w:themeColor="text1"/>
          <w:lang w:val="en-US"/>
        </w:rPr>
        <w:t xml:space="preserve"> 44</w:t>
      </w:r>
      <w:r w:rsidRPr="00B935F1">
        <w:rPr>
          <w:rFonts w:ascii="Garamond" w:hAnsi="Garamond"/>
          <w:color w:val="000000" w:themeColor="text1"/>
          <w:lang w:val="en-US"/>
        </w:rPr>
        <w:t xml:space="preserve">: </w:t>
      </w:r>
      <w:r w:rsidRPr="00156101">
        <w:rPr>
          <w:rFonts w:ascii="Garamond" w:hAnsi="Garamond"/>
          <w:color w:val="000000" w:themeColor="text1"/>
          <w:lang w:val="en-US"/>
        </w:rPr>
        <w:t>«</w:t>
      </w:r>
      <w:proofErr w:type="spellStart"/>
      <w:r w:rsidRPr="00156101">
        <w:rPr>
          <w:rFonts w:ascii="Garamond" w:hAnsi="Garamond"/>
          <w:color w:val="000000" w:themeColor="text1"/>
          <w:lang w:val="en-US"/>
        </w:rPr>
        <w:t>En</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quatrième</w:t>
      </w:r>
      <w:proofErr w:type="spellEnd"/>
      <w:r w:rsidRPr="00156101">
        <w:rPr>
          <w:rFonts w:ascii="Garamond" w:hAnsi="Garamond"/>
          <w:color w:val="000000" w:themeColor="text1"/>
          <w:lang w:val="en-US"/>
        </w:rPr>
        <w:t xml:space="preserve"> lieu, les dispositions </w:t>
      </w:r>
      <w:proofErr w:type="spellStart"/>
      <w:r w:rsidRPr="00156101">
        <w:rPr>
          <w:rFonts w:ascii="Garamond" w:hAnsi="Garamond"/>
          <w:color w:val="000000" w:themeColor="text1"/>
          <w:lang w:val="en-US"/>
        </w:rPr>
        <w:t>contestées</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prévoient</w:t>
      </w:r>
      <w:proofErr w:type="spellEnd"/>
      <w:r w:rsidRPr="00156101">
        <w:rPr>
          <w:rFonts w:ascii="Garamond" w:hAnsi="Garamond"/>
          <w:color w:val="000000" w:themeColor="text1"/>
          <w:lang w:val="en-US"/>
        </w:rPr>
        <w:t xml:space="preserve"> que les obligations </w:t>
      </w:r>
      <w:proofErr w:type="spellStart"/>
      <w:r w:rsidRPr="00156101">
        <w:rPr>
          <w:rFonts w:ascii="Garamond" w:hAnsi="Garamond"/>
          <w:color w:val="000000" w:themeColor="text1"/>
          <w:lang w:val="en-US"/>
        </w:rPr>
        <w:t>imposées</w:t>
      </w:r>
      <w:proofErr w:type="spellEnd"/>
      <w:r w:rsidRPr="00156101">
        <w:rPr>
          <w:rFonts w:ascii="Garamond" w:hAnsi="Garamond"/>
          <w:color w:val="000000" w:themeColor="text1"/>
          <w:lang w:val="en-US"/>
        </w:rPr>
        <w:t xml:space="preserve"> au public </w:t>
      </w:r>
      <w:proofErr w:type="spellStart"/>
      <w:r w:rsidRPr="00156101">
        <w:rPr>
          <w:rFonts w:ascii="Garamond" w:hAnsi="Garamond"/>
          <w:color w:val="000000" w:themeColor="text1"/>
          <w:lang w:val="en-US"/>
        </w:rPr>
        <w:t>peuvent</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être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satisfaites</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par</w:t>
      </w:r>
      <w:proofErr w:type="spellEnd"/>
      <w:r w:rsidRPr="00156101">
        <w:rPr>
          <w:rFonts w:ascii="Garamond" w:hAnsi="Garamond"/>
          <w:color w:val="000000" w:themeColor="text1"/>
          <w:lang w:val="en-US"/>
        </w:rPr>
        <w:t xml:space="preserve"> la </w:t>
      </w:r>
      <w:proofErr w:type="spellStart"/>
      <w:r w:rsidRPr="00156101">
        <w:rPr>
          <w:rFonts w:ascii="Garamond" w:hAnsi="Garamond"/>
          <w:color w:val="000000" w:themeColor="text1"/>
          <w:lang w:val="en-US"/>
        </w:rPr>
        <w:t>présentation</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aussi</w:t>
      </w:r>
      <w:proofErr w:type="spellEnd"/>
      <w:r w:rsidRPr="00156101">
        <w:rPr>
          <w:rFonts w:ascii="Garamond" w:hAnsi="Garamond"/>
          <w:color w:val="000000" w:themeColor="text1"/>
          <w:lang w:val="en-US"/>
        </w:rPr>
        <w:t xml:space="preserve"> bien d'un </w:t>
      </w:r>
      <w:proofErr w:type="spellStart"/>
      <w:r w:rsidRPr="00156101">
        <w:rPr>
          <w:rFonts w:ascii="Garamond" w:hAnsi="Garamond"/>
          <w:color w:val="000000" w:themeColor="text1"/>
          <w:lang w:val="en-US"/>
        </w:rPr>
        <w:t>justificatif</w:t>
      </w:r>
      <w:proofErr w:type="spellEnd"/>
      <w:r w:rsidRPr="00156101">
        <w:rPr>
          <w:rFonts w:ascii="Garamond" w:hAnsi="Garamond"/>
          <w:color w:val="000000" w:themeColor="text1"/>
          <w:lang w:val="en-US"/>
        </w:rPr>
        <w:t xml:space="preserve"> de </w:t>
      </w:r>
      <w:proofErr w:type="spellStart"/>
      <w:r w:rsidRPr="00156101">
        <w:rPr>
          <w:rFonts w:ascii="Garamond" w:hAnsi="Garamond"/>
          <w:color w:val="000000" w:themeColor="text1"/>
          <w:lang w:val="en-US"/>
        </w:rPr>
        <w:t>statut</w:t>
      </w:r>
      <w:proofErr w:type="spellEnd"/>
      <w:r w:rsidRPr="00156101">
        <w:rPr>
          <w:rFonts w:ascii="Garamond" w:hAnsi="Garamond"/>
          <w:color w:val="000000" w:themeColor="text1"/>
          <w:lang w:val="en-US"/>
        </w:rPr>
        <w:t xml:space="preserve"> vaccinal, du </w:t>
      </w:r>
      <w:proofErr w:type="spellStart"/>
      <w:r w:rsidRPr="00156101">
        <w:rPr>
          <w:rFonts w:ascii="Garamond" w:hAnsi="Garamond"/>
          <w:color w:val="000000" w:themeColor="text1"/>
          <w:lang w:val="en-US"/>
        </w:rPr>
        <w:t>résultat</w:t>
      </w:r>
      <w:proofErr w:type="spellEnd"/>
      <w:r w:rsidRPr="00156101">
        <w:rPr>
          <w:rFonts w:ascii="Garamond" w:hAnsi="Garamond"/>
          <w:color w:val="000000" w:themeColor="text1"/>
          <w:lang w:val="en-US"/>
        </w:rPr>
        <w:t xml:space="preserve"> d'un examen de </w:t>
      </w:r>
      <w:proofErr w:type="spellStart"/>
      <w:r w:rsidRPr="00156101">
        <w:rPr>
          <w:rFonts w:ascii="Garamond" w:hAnsi="Garamond"/>
          <w:color w:val="000000" w:themeColor="text1"/>
          <w:lang w:val="en-US"/>
        </w:rPr>
        <w:t>dépistage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virologique</w:t>
      </w:r>
      <w:proofErr w:type="spellEnd"/>
      <w:r w:rsidRPr="00156101">
        <w:rPr>
          <w:rFonts w:ascii="Garamond" w:hAnsi="Garamond"/>
          <w:color w:val="000000" w:themeColor="text1"/>
          <w:lang w:val="en-US"/>
        </w:rPr>
        <w:t xml:space="preserve"> ne </w:t>
      </w:r>
      <w:proofErr w:type="spellStart"/>
      <w:r w:rsidRPr="00156101">
        <w:rPr>
          <w:rFonts w:ascii="Garamond" w:hAnsi="Garamond"/>
          <w:color w:val="000000" w:themeColor="text1"/>
          <w:lang w:val="en-US"/>
        </w:rPr>
        <w:t>concluant</w:t>
      </w:r>
      <w:proofErr w:type="spellEnd"/>
      <w:r w:rsidRPr="00156101">
        <w:rPr>
          <w:rFonts w:ascii="Garamond" w:hAnsi="Garamond"/>
          <w:color w:val="000000" w:themeColor="text1"/>
          <w:lang w:val="en-US"/>
        </w:rPr>
        <w:t xml:space="preserve"> pas à </w:t>
      </w:r>
      <w:proofErr w:type="spellStart"/>
      <w:r w:rsidRPr="00156101">
        <w:rPr>
          <w:rFonts w:ascii="Garamond" w:hAnsi="Garamond"/>
          <w:color w:val="000000" w:themeColor="text1"/>
          <w:lang w:val="en-US"/>
        </w:rPr>
        <w:t>une</w:t>
      </w:r>
      <w:proofErr w:type="spellEnd"/>
      <w:r w:rsidRPr="00156101">
        <w:rPr>
          <w:rFonts w:ascii="Garamond" w:hAnsi="Garamond"/>
          <w:color w:val="000000" w:themeColor="text1"/>
          <w:lang w:val="en-US"/>
        </w:rPr>
        <w:t xml:space="preserve"> contamination </w:t>
      </w:r>
      <w:proofErr w:type="spellStart"/>
      <w:r w:rsidRPr="00156101">
        <w:rPr>
          <w:rFonts w:ascii="Garamond" w:hAnsi="Garamond"/>
          <w:color w:val="000000" w:themeColor="text1"/>
          <w:lang w:val="en-US"/>
        </w:rPr>
        <w:t>ou</w:t>
      </w:r>
      <w:proofErr w:type="spellEnd"/>
      <w:r w:rsidRPr="00156101">
        <w:rPr>
          <w:rFonts w:ascii="Garamond" w:hAnsi="Garamond"/>
          <w:color w:val="000000" w:themeColor="text1"/>
          <w:lang w:val="en-US"/>
        </w:rPr>
        <w:t xml:space="preserve"> d'un </w:t>
      </w:r>
      <w:proofErr w:type="spellStart"/>
      <w:r w:rsidRPr="00156101">
        <w:rPr>
          <w:rFonts w:ascii="Garamond" w:hAnsi="Garamond"/>
          <w:color w:val="000000" w:themeColor="text1"/>
          <w:lang w:val="en-US"/>
        </w:rPr>
        <w:t>certificat</w:t>
      </w:r>
      <w:proofErr w:type="spellEnd"/>
      <w:r w:rsidRPr="00156101">
        <w:rPr>
          <w:rFonts w:ascii="Garamond" w:hAnsi="Garamond"/>
          <w:color w:val="000000" w:themeColor="text1"/>
          <w:lang w:val="en-US"/>
        </w:rPr>
        <w:t xml:space="preserve"> de </w:t>
      </w:r>
      <w:proofErr w:type="spellStart"/>
      <w:r w:rsidRPr="00156101">
        <w:rPr>
          <w:rFonts w:ascii="Garamond" w:hAnsi="Garamond"/>
          <w:color w:val="000000" w:themeColor="text1"/>
          <w:lang w:val="en-US"/>
        </w:rPr>
        <w:t>rétablissement</w:t>
      </w:r>
      <w:proofErr w:type="spellEnd"/>
      <w:r w:rsidRPr="00156101">
        <w:rPr>
          <w:rFonts w:ascii="Garamond" w:hAnsi="Garamond"/>
          <w:color w:val="000000" w:themeColor="text1"/>
          <w:lang w:val="en-US"/>
        </w:rPr>
        <w:t xml:space="preserve"> à la suite </w:t>
      </w:r>
      <w:proofErr w:type="spellStart"/>
      <w:r w:rsidRPr="00156101">
        <w:rPr>
          <w:rFonts w:ascii="Garamond" w:hAnsi="Garamond"/>
          <w:color w:val="000000" w:themeColor="text1"/>
          <w:lang w:val="en-US"/>
        </w:rPr>
        <w:t>d'une</w:t>
      </w:r>
      <w:proofErr w:type="spellEnd"/>
      <w:r w:rsidRPr="00156101">
        <w:rPr>
          <w:rFonts w:ascii="Garamond" w:hAnsi="Garamond"/>
          <w:color w:val="000000" w:themeColor="text1"/>
          <w:lang w:val="en-US"/>
        </w:rPr>
        <w:t xml:space="preserve"> contamination. </w:t>
      </w:r>
      <w:proofErr w:type="spellStart"/>
      <w:r w:rsidRPr="00156101">
        <w:rPr>
          <w:rFonts w:ascii="Garamond" w:hAnsi="Garamond"/>
          <w:color w:val="000000" w:themeColor="text1"/>
          <w:lang w:val="en-US"/>
        </w:rPr>
        <w:t>Ainsi</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ces</w:t>
      </w:r>
      <w:proofErr w:type="spellEnd"/>
      <w:r w:rsidRPr="00156101">
        <w:rPr>
          <w:rFonts w:ascii="Garamond" w:hAnsi="Garamond"/>
          <w:color w:val="000000" w:themeColor="text1"/>
          <w:lang w:val="en-US"/>
        </w:rPr>
        <w:t xml:space="preserve"> dispositions </w:t>
      </w:r>
      <w:proofErr w:type="spellStart"/>
      <w:r w:rsidRPr="00156101">
        <w:rPr>
          <w:rFonts w:ascii="Garamond" w:hAnsi="Garamond"/>
          <w:color w:val="000000" w:themeColor="text1"/>
          <w:lang w:val="en-US"/>
        </w:rPr>
        <w:t>n'instaurent</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en</w:t>
      </w:r>
      <w:proofErr w:type="spellEnd"/>
      <w:r w:rsidRPr="00156101">
        <w:rPr>
          <w:rFonts w:ascii="Garamond" w:hAnsi="Garamond"/>
          <w:color w:val="000000" w:themeColor="text1"/>
          <w:lang w:val="en-US"/>
        </w:rPr>
        <w:t xml:space="preserve"> tout </w:t>
      </w:r>
      <w:proofErr w:type="spellStart"/>
      <w:r w:rsidRPr="00156101">
        <w:rPr>
          <w:rFonts w:ascii="Garamond" w:hAnsi="Garamond"/>
          <w:color w:val="000000" w:themeColor="text1"/>
          <w:lang w:val="en-US"/>
        </w:rPr>
        <w:t>état</w:t>
      </w:r>
      <w:proofErr w:type="spellEnd"/>
      <w:r w:rsidRPr="00156101">
        <w:rPr>
          <w:rFonts w:ascii="Garamond" w:hAnsi="Garamond"/>
          <w:color w:val="000000" w:themeColor="text1"/>
          <w:lang w:val="en-US"/>
        </w:rPr>
        <w:t xml:space="preserve"> de cause, </w:t>
      </w:r>
      <w:proofErr w:type="spellStart"/>
      <w:r w:rsidRPr="00156101">
        <w:rPr>
          <w:rFonts w:ascii="Garamond" w:hAnsi="Garamond"/>
          <w:color w:val="000000" w:themeColor="text1"/>
          <w:lang w:val="en-US"/>
        </w:rPr>
        <w:t>ni</w:t>
      </w:r>
      <w:proofErr w:type="spellEnd"/>
      <w:r w:rsidRPr="00156101">
        <w:rPr>
          <w:rFonts w:ascii="Garamond" w:hAnsi="Garamond"/>
          <w:color w:val="000000" w:themeColor="text1"/>
          <w:lang w:val="en-US"/>
        </w:rPr>
        <w:t xml:space="preserve"> obligation de </w:t>
      </w:r>
      <w:proofErr w:type="spellStart"/>
      <w:r w:rsidRPr="00156101">
        <w:rPr>
          <w:rFonts w:ascii="Garamond" w:hAnsi="Garamond"/>
          <w:color w:val="000000" w:themeColor="text1"/>
          <w:lang w:val="en-US"/>
        </w:rPr>
        <w:t>soin</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ni</w:t>
      </w:r>
      <w:proofErr w:type="spellEnd"/>
      <w:r w:rsidRPr="00156101">
        <w:rPr>
          <w:rFonts w:ascii="Garamond" w:hAnsi="Garamond"/>
          <w:color w:val="000000" w:themeColor="text1"/>
          <w:lang w:val="en-US"/>
        </w:rPr>
        <w:t xml:space="preserve"> obligation de vaccination. </w:t>
      </w:r>
      <w:proofErr w:type="spellStart"/>
      <w:r w:rsidRPr="00156101">
        <w:rPr>
          <w:rFonts w:ascii="Garamond" w:hAnsi="Garamond"/>
          <w:color w:val="000000" w:themeColor="text1"/>
          <w:lang w:val="en-US"/>
        </w:rPr>
        <w:t>En</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outre</w:t>
      </w:r>
      <w:proofErr w:type="spellEnd"/>
      <w:r w:rsidRPr="00156101">
        <w:rPr>
          <w:rFonts w:ascii="Garamond" w:hAnsi="Garamond"/>
          <w:color w:val="000000" w:themeColor="text1"/>
          <w:lang w:val="en-US"/>
        </w:rPr>
        <w:t xml:space="preserve">, le </w:t>
      </w:r>
      <w:proofErr w:type="spellStart"/>
      <w:r w:rsidRPr="00156101">
        <w:rPr>
          <w:rFonts w:ascii="Garamond" w:hAnsi="Garamond"/>
          <w:color w:val="000000" w:themeColor="text1"/>
          <w:lang w:val="en-US"/>
        </w:rPr>
        <w:t>législateur</w:t>
      </w:r>
      <w:proofErr w:type="spellEnd"/>
      <w:r w:rsidRPr="00156101">
        <w:rPr>
          <w:rFonts w:ascii="Garamond" w:hAnsi="Garamond"/>
          <w:color w:val="000000" w:themeColor="text1"/>
          <w:lang w:val="en-US"/>
        </w:rPr>
        <w:t xml:space="preserve"> a </w:t>
      </w:r>
      <w:proofErr w:type="spellStart"/>
      <w:r w:rsidRPr="00156101">
        <w:rPr>
          <w:rFonts w:ascii="Garamond" w:hAnsi="Garamond"/>
          <w:color w:val="000000" w:themeColor="text1"/>
          <w:lang w:val="en-US"/>
        </w:rPr>
        <w:t>prévu</w:t>
      </w:r>
      <w:proofErr w:type="spellEnd"/>
      <w:r w:rsidRPr="00156101">
        <w:rPr>
          <w:rFonts w:ascii="Garamond" w:hAnsi="Garamond"/>
          <w:color w:val="000000" w:themeColor="text1"/>
          <w:lang w:val="en-US"/>
        </w:rPr>
        <w:t xml:space="preserve"> la </w:t>
      </w:r>
      <w:proofErr w:type="spellStart"/>
      <w:r w:rsidRPr="00156101">
        <w:rPr>
          <w:rFonts w:ascii="Garamond" w:hAnsi="Garamond"/>
          <w:color w:val="000000" w:themeColor="text1"/>
          <w:lang w:val="en-US"/>
        </w:rPr>
        <w:t>détermination</w:t>
      </w:r>
      <w:proofErr w:type="spellEnd"/>
      <w:r w:rsidRPr="00156101">
        <w:rPr>
          <w:rFonts w:ascii="Garamond" w:hAnsi="Garamond"/>
          <w:color w:val="000000" w:themeColor="text1"/>
          <w:lang w:val="en-US"/>
        </w:rPr>
        <w:t xml:space="preserve"> par un </w:t>
      </w:r>
      <w:proofErr w:type="spellStart"/>
      <w:r w:rsidRPr="00156101">
        <w:rPr>
          <w:rFonts w:ascii="Garamond" w:hAnsi="Garamond"/>
          <w:color w:val="000000" w:themeColor="text1"/>
          <w:lang w:val="en-US"/>
        </w:rPr>
        <w:t>décret</w:t>
      </w:r>
      <w:proofErr w:type="spellEnd"/>
      <w:r w:rsidRPr="00156101">
        <w:rPr>
          <w:rFonts w:ascii="Garamond" w:hAnsi="Garamond"/>
          <w:color w:val="000000" w:themeColor="text1"/>
          <w:lang w:val="en-US"/>
        </w:rPr>
        <w:t xml:space="preserve">, pris après </w:t>
      </w:r>
      <w:proofErr w:type="spellStart"/>
      <w:r w:rsidRPr="00156101">
        <w:rPr>
          <w:rFonts w:ascii="Garamond" w:hAnsi="Garamond"/>
          <w:color w:val="000000" w:themeColor="text1"/>
          <w:lang w:val="en-US"/>
        </w:rPr>
        <w:t>avis</w:t>
      </w:r>
      <w:proofErr w:type="spellEnd"/>
      <w:r w:rsidRPr="00156101">
        <w:rPr>
          <w:rFonts w:ascii="Garamond" w:hAnsi="Garamond"/>
          <w:color w:val="000000" w:themeColor="text1"/>
          <w:lang w:val="en-US"/>
        </w:rPr>
        <w:t xml:space="preserve"> de la Haute </w:t>
      </w:r>
      <w:proofErr w:type="spellStart"/>
      <w:r w:rsidRPr="00156101">
        <w:rPr>
          <w:rFonts w:ascii="Garamond" w:hAnsi="Garamond"/>
          <w:color w:val="000000" w:themeColor="text1"/>
          <w:lang w:val="en-US"/>
        </w:rPr>
        <w:t>autorité</w:t>
      </w:r>
      <w:proofErr w:type="spellEnd"/>
      <w:r w:rsidRPr="00156101">
        <w:rPr>
          <w:rFonts w:ascii="Garamond" w:hAnsi="Garamond"/>
          <w:color w:val="000000" w:themeColor="text1"/>
          <w:lang w:val="en-US"/>
        </w:rPr>
        <w:t xml:space="preserve"> de </w:t>
      </w:r>
      <w:proofErr w:type="spellStart"/>
      <w:r w:rsidRPr="00156101">
        <w:rPr>
          <w:rFonts w:ascii="Garamond" w:hAnsi="Garamond"/>
          <w:color w:val="000000" w:themeColor="text1"/>
          <w:lang w:val="en-US"/>
        </w:rPr>
        <w:t>santé</w:t>
      </w:r>
      <w:proofErr w:type="spellEnd"/>
      <w:r w:rsidRPr="00156101">
        <w:rPr>
          <w:rFonts w:ascii="Garamond" w:hAnsi="Garamond"/>
          <w:color w:val="000000" w:themeColor="text1"/>
          <w:lang w:val="en-US"/>
        </w:rPr>
        <w:t xml:space="preserve">, des </w:t>
      </w:r>
      <w:proofErr w:type="spellStart"/>
      <w:r w:rsidRPr="00156101">
        <w:rPr>
          <w:rFonts w:ascii="Garamond" w:hAnsi="Garamond"/>
          <w:color w:val="000000" w:themeColor="text1"/>
          <w:lang w:val="en-US"/>
        </w:rPr>
        <w:t>cas</w:t>
      </w:r>
      <w:proofErr w:type="spellEnd"/>
      <w:r w:rsidRPr="00156101">
        <w:rPr>
          <w:rFonts w:ascii="Garamond" w:hAnsi="Garamond"/>
          <w:color w:val="000000" w:themeColor="text1"/>
          <w:lang w:val="en-US"/>
        </w:rPr>
        <w:t xml:space="preserve"> de </w:t>
      </w:r>
      <w:proofErr w:type="spellStart"/>
      <w:r w:rsidRPr="00156101">
        <w:rPr>
          <w:rFonts w:ascii="Garamond" w:hAnsi="Garamond"/>
          <w:color w:val="000000" w:themeColor="text1"/>
          <w:lang w:val="en-US"/>
        </w:rPr>
        <w:t>contre</w:t>
      </w:r>
      <w:proofErr w:type="spellEnd"/>
      <w:r w:rsidRPr="00156101">
        <w:rPr>
          <w:rFonts w:ascii="Garamond" w:hAnsi="Garamond"/>
          <w:color w:val="000000" w:themeColor="text1"/>
          <w:lang w:val="en-US"/>
        </w:rPr>
        <w:t xml:space="preserve">-indication </w:t>
      </w:r>
      <w:proofErr w:type="spellStart"/>
      <w:r w:rsidRPr="00156101">
        <w:rPr>
          <w:rFonts w:ascii="Garamond" w:hAnsi="Garamond"/>
          <w:color w:val="000000" w:themeColor="text1"/>
          <w:lang w:val="en-US"/>
        </w:rPr>
        <w:t>médicale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faisant</w:t>
      </w:r>
      <w:proofErr w:type="spellEnd"/>
      <w:r w:rsidRPr="00156101">
        <w:rPr>
          <w:rFonts w:ascii="Garamond" w:hAnsi="Garamond"/>
          <w:color w:val="000000" w:themeColor="text1"/>
          <w:lang w:val="en-US"/>
        </w:rPr>
        <w:t xml:space="preserve"> obstacle à la vaccination et la </w:t>
      </w:r>
      <w:proofErr w:type="spellStart"/>
      <w:r w:rsidRPr="00156101">
        <w:rPr>
          <w:rFonts w:ascii="Garamond" w:hAnsi="Garamond"/>
          <w:color w:val="000000" w:themeColor="text1"/>
          <w:lang w:val="en-US"/>
        </w:rPr>
        <w:t>délivrance</w:t>
      </w:r>
      <w:proofErr w:type="spellEnd"/>
      <w:r w:rsidRPr="00156101">
        <w:rPr>
          <w:rFonts w:ascii="Garamond" w:hAnsi="Garamond"/>
          <w:color w:val="000000" w:themeColor="text1"/>
          <w:lang w:val="en-US"/>
        </w:rPr>
        <w:t xml:space="preserve"> aux </w:t>
      </w:r>
      <w:proofErr w:type="spellStart"/>
      <w:r w:rsidRPr="00156101">
        <w:rPr>
          <w:rFonts w:ascii="Garamond" w:hAnsi="Garamond"/>
          <w:color w:val="000000" w:themeColor="text1"/>
          <w:lang w:val="en-US"/>
        </w:rPr>
        <w:t>personnes</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concernées</w:t>
      </w:r>
      <w:proofErr w:type="spellEnd"/>
      <w:r w:rsidRPr="00156101">
        <w:rPr>
          <w:rFonts w:ascii="Garamond" w:hAnsi="Garamond"/>
          <w:color w:val="000000" w:themeColor="text1"/>
          <w:lang w:val="en-US"/>
        </w:rPr>
        <w:t xml:space="preserve"> d'un document </w:t>
      </w:r>
      <w:proofErr w:type="spellStart"/>
      <w:r w:rsidRPr="00156101">
        <w:rPr>
          <w:rFonts w:ascii="Garamond" w:hAnsi="Garamond"/>
          <w:color w:val="000000" w:themeColor="text1"/>
          <w:lang w:val="en-US"/>
        </w:rPr>
        <w:t>pouvant</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être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présenté</w:t>
      </w:r>
      <w:proofErr w:type="spellEnd"/>
      <w:r w:rsidRPr="00156101">
        <w:rPr>
          <w:rFonts w:ascii="Garamond" w:hAnsi="Garamond"/>
          <w:color w:val="000000" w:themeColor="text1"/>
          <w:lang w:val="en-US"/>
        </w:rPr>
        <w:t xml:space="preserve"> dans les </w:t>
      </w:r>
      <w:proofErr w:type="spellStart"/>
      <w:r w:rsidRPr="00156101">
        <w:rPr>
          <w:rFonts w:ascii="Garamond" w:hAnsi="Garamond"/>
          <w:color w:val="000000" w:themeColor="text1"/>
          <w:lang w:val="en-US"/>
        </w:rPr>
        <w:t>lieux</w:t>
      </w:r>
      <w:proofErr w:type="spellEnd"/>
      <w:r w:rsidRPr="00156101">
        <w:rPr>
          <w:rFonts w:ascii="Garamond" w:hAnsi="Garamond"/>
          <w:color w:val="000000" w:themeColor="text1"/>
          <w:lang w:val="en-US"/>
        </w:rPr>
        <w:t xml:space="preserve">, services </w:t>
      </w:r>
      <w:proofErr w:type="spellStart"/>
      <w:r w:rsidRPr="00156101">
        <w:rPr>
          <w:rFonts w:ascii="Garamond" w:hAnsi="Garamond"/>
          <w:color w:val="000000" w:themeColor="text1"/>
          <w:lang w:val="en-US"/>
        </w:rPr>
        <w:t>ou</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établissements</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où</w:t>
      </w:r>
      <w:proofErr w:type="spellEnd"/>
      <w:r w:rsidRPr="00156101">
        <w:rPr>
          <w:rFonts w:ascii="Garamond" w:hAnsi="Garamond"/>
          <w:color w:val="000000" w:themeColor="text1"/>
          <w:lang w:val="en-US"/>
        </w:rPr>
        <w:t xml:space="preserve"> sera </w:t>
      </w:r>
      <w:proofErr w:type="spellStart"/>
      <w:r w:rsidRPr="00156101">
        <w:rPr>
          <w:rFonts w:ascii="Garamond" w:hAnsi="Garamond"/>
          <w:color w:val="000000" w:themeColor="text1"/>
          <w:lang w:val="en-US"/>
        </w:rPr>
        <w:t>exigée</w:t>
      </w:r>
      <w:proofErr w:type="spellEnd"/>
      <w:r w:rsidRPr="00156101">
        <w:rPr>
          <w:rFonts w:ascii="Garamond" w:hAnsi="Garamond"/>
          <w:color w:val="000000" w:themeColor="text1"/>
          <w:lang w:val="en-US"/>
        </w:rPr>
        <w:t xml:space="preserve"> la </w:t>
      </w:r>
      <w:proofErr w:type="spellStart"/>
      <w:r w:rsidRPr="00156101">
        <w:rPr>
          <w:rFonts w:ascii="Garamond" w:hAnsi="Garamond"/>
          <w:color w:val="000000" w:themeColor="text1"/>
          <w:lang w:val="en-US"/>
        </w:rPr>
        <w:t>présentation</w:t>
      </w:r>
      <w:proofErr w:type="spellEnd"/>
      <w:r w:rsidRPr="00156101">
        <w:rPr>
          <w:rFonts w:ascii="Garamond" w:hAnsi="Garamond"/>
          <w:color w:val="000000" w:themeColor="text1"/>
          <w:lang w:val="en-US"/>
        </w:rPr>
        <w:t xml:space="preserve"> d'un « passe sanitaire»</w:t>
      </w:r>
      <w:r w:rsidRPr="00B935F1">
        <w:rPr>
          <w:rFonts w:ascii="Garamond" w:hAnsi="Garamond"/>
          <w:color w:val="000000" w:themeColor="text1"/>
          <w:lang w:val="en-US"/>
        </w:rPr>
        <w:t>.</w:t>
      </w:r>
    </w:p>
  </w:footnote>
  <w:footnote w:id="55">
    <w:p w14:paraId="11E08045" w14:textId="45E8AF6D" w:rsidR="006B1761" w:rsidRPr="00156101" w:rsidRDefault="006B1761" w:rsidP="00B67169">
      <w:pPr>
        <w:pStyle w:val="Testonotaapidipagina"/>
        <w:jc w:val="both"/>
        <w:rPr>
          <w:rFonts w:ascii="Garamond" w:hAnsi="Garamond"/>
          <w:iCs/>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w:t>
      </w:r>
      <w:r w:rsidRPr="00156101">
        <w:rPr>
          <w:rFonts w:ascii="Garamond" w:hAnsi="Garamond"/>
          <w:color w:val="000000" w:themeColor="text1"/>
          <w:lang w:val="en-US"/>
        </w:rPr>
        <w:t xml:space="preserve">Judgment of the European Court of Human Rights of 8 </w:t>
      </w:r>
      <w:proofErr w:type="spellStart"/>
      <w:r w:rsidRPr="00156101">
        <w:rPr>
          <w:rFonts w:ascii="Garamond" w:hAnsi="Garamond"/>
          <w:color w:val="000000" w:themeColor="text1"/>
          <w:lang w:val="en-US"/>
        </w:rPr>
        <w:t>april</w:t>
      </w:r>
      <w:proofErr w:type="spellEnd"/>
      <w:r w:rsidRPr="00156101">
        <w:rPr>
          <w:rFonts w:ascii="Garamond" w:hAnsi="Garamond"/>
          <w:color w:val="000000" w:themeColor="text1"/>
          <w:lang w:val="en-US"/>
        </w:rPr>
        <w:t xml:space="preserve"> 2021, application n. 47621/13 and 5 others</w:t>
      </w:r>
      <w:r w:rsidRPr="00B935F1">
        <w:rPr>
          <w:rFonts w:ascii="Garamond" w:hAnsi="Garamond"/>
          <w:i/>
          <w:color w:val="000000" w:themeColor="text1"/>
          <w:lang w:val="en-US"/>
        </w:rPr>
        <w:t xml:space="preserve">, </w:t>
      </w:r>
      <w:proofErr w:type="spellStart"/>
      <w:r w:rsidRPr="00B935F1">
        <w:rPr>
          <w:rFonts w:ascii="Garamond" w:hAnsi="Garamond"/>
          <w:i/>
          <w:color w:val="000000" w:themeColor="text1"/>
          <w:lang w:val="en-US"/>
        </w:rPr>
        <w:t>Vavřička</w:t>
      </w:r>
      <w:proofErr w:type="spellEnd"/>
      <w:r w:rsidRPr="00B935F1">
        <w:rPr>
          <w:rFonts w:ascii="Garamond" w:hAnsi="Garamond"/>
          <w:i/>
          <w:color w:val="000000" w:themeColor="text1"/>
          <w:lang w:val="en-US"/>
        </w:rPr>
        <w:t xml:space="preserve"> and Others v. The Czech Republic</w:t>
      </w:r>
      <w:r w:rsidRPr="00B935F1">
        <w:rPr>
          <w:rFonts w:ascii="Garamond" w:hAnsi="Garamond"/>
          <w:iCs/>
          <w:color w:val="000000" w:themeColor="text1"/>
          <w:lang w:val="en-US"/>
        </w:rPr>
        <w:t xml:space="preserve">. </w:t>
      </w:r>
      <w:r w:rsidRPr="00B935F1">
        <w:rPr>
          <w:rFonts w:ascii="Garamond" w:hAnsi="Garamond"/>
          <w:iCs/>
          <w:smallCaps/>
          <w:color w:val="000000" w:themeColor="text1"/>
        </w:rPr>
        <w:t>M. L. Lo Giacco</w:t>
      </w:r>
      <w:r w:rsidRPr="00B935F1">
        <w:rPr>
          <w:rFonts w:ascii="Garamond" w:hAnsi="Garamond"/>
          <w:iCs/>
          <w:color w:val="000000" w:themeColor="text1"/>
        </w:rPr>
        <w:t xml:space="preserve">, </w:t>
      </w:r>
      <w:r w:rsidRPr="00B935F1">
        <w:rPr>
          <w:rFonts w:ascii="Garamond" w:hAnsi="Garamond"/>
          <w:i/>
          <w:iCs/>
          <w:color w:val="000000" w:themeColor="text1"/>
        </w:rPr>
        <w:t xml:space="preserve">Vaccini obbligatori e obiezione di coscienza dei genitori. (La decisione della Corte europea dei diritti dell’Uomo </w:t>
      </w:r>
      <w:proofErr w:type="spellStart"/>
      <w:r w:rsidRPr="00156101">
        <w:rPr>
          <w:rFonts w:ascii="Garamond" w:hAnsi="Garamond"/>
          <w:iCs/>
          <w:color w:val="000000" w:themeColor="text1"/>
        </w:rPr>
        <w:t>Vavricka</w:t>
      </w:r>
      <w:proofErr w:type="spellEnd"/>
      <w:r w:rsidRPr="00156101">
        <w:rPr>
          <w:rFonts w:ascii="Garamond" w:hAnsi="Garamond"/>
          <w:iCs/>
          <w:color w:val="000000" w:themeColor="text1"/>
        </w:rPr>
        <w:t xml:space="preserve"> ed altri</w:t>
      </w:r>
      <w:r w:rsidRPr="00B935F1">
        <w:rPr>
          <w:rFonts w:ascii="Garamond" w:hAnsi="Garamond"/>
          <w:i/>
          <w:iCs/>
          <w:color w:val="000000" w:themeColor="text1"/>
        </w:rPr>
        <w:t xml:space="preserve"> c. </w:t>
      </w:r>
      <w:r w:rsidRPr="00156101">
        <w:rPr>
          <w:rFonts w:ascii="Garamond" w:hAnsi="Garamond"/>
          <w:iCs/>
          <w:color w:val="000000" w:themeColor="text1"/>
        </w:rPr>
        <w:t>Repubblica Ceca</w:t>
      </w:r>
      <w:r w:rsidRPr="00B935F1">
        <w:rPr>
          <w:rFonts w:ascii="Garamond" w:hAnsi="Garamond"/>
          <w:iCs/>
          <w:color w:val="000000" w:themeColor="text1"/>
        </w:rPr>
        <w:t xml:space="preserve">, </w:t>
      </w:r>
      <w:r w:rsidRPr="00B935F1">
        <w:rPr>
          <w:rFonts w:ascii="Garamond" w:hAnsi="Garamond"/>
          <w:i/>
          <w:iCs/>
          <w:color w:val="000000" w:themeColor="text1"/>
        </w:rPr>
        <w:t>8 aprile 2021</w:t>
      </w:r>
      <w:r w:rsidRPr="00B935F1">
        <w:rPr>
          <w:rFonts w:ascii="Garamond" w:hAnsi="Garamond"/>
          <w:iCs/>
          <w:color w:val="000000" w:themeColor="text1"/>
        </w:rPr>
        <w:t xml:space="preserve">) in </w:t>
      </w:r>
      <w:r w:rsidRPr="00B935F1">
        <w:rPr>
          <w:rFonts w:ascii="Garamond" w:hAnsi="Garamond"/>
          <w:i/>
          <w:iCs/>
          <w:color w:val="000000" w:themeColor="text1"/>
        </w:rPr>
        <w:t>Osservatorio AIC</w:t>
      </w:r>
      <w:r w:rsidRPr="00B935F1">
        <w:rPr>
          <w:rFonts w:ascii="Garamond" w:hAnsi="Garamond"/>
          <w:iCs/>
          <w:color w:val="000000" w:themeColor="text1"/>
        </w:rPr>
        <w:t>, 2021. Secondo l’interpretazione della Corte - (e della dottrina maggioritaria) valutate le singole legislazioni nazionali in materia - l’obbligo vaccinale non dovrebbe essere considerato «</w:t>
      </w:r>
      <w:r w:rsidRPr="00156101">
        <w:rPr>
          <w:rFonts w:ascii="Garamond" w:hAnsi="Garamond"/>
          <w:iCs/>
          <w:color w:val="000000" w:themeColor="text1"/>
        </w:rPr>
        <w:t>come un’indebita interferenza nella responsabilità genitoriale, ma come un mezzo necessario per la tutela del bene comune</w:t>
      </w:r>
      <w:r w:rsidRPr="00B935F1">
        <w:rPr>
          <w:rFonts w:ascii="Garamond" w:hAnsi="Garamond"/>
          <w:iCs/>
          <w:color w:val="000000" w:themeColor="text1"/>
        </w:rPr>
        <w:t>». Peraltro, un elemento decisivo ai fini della legittimità dell’obbligo vaccinale previsto dalla legge ceca è stato rintracciato dalla Corte europea (e sottolineato anche dalla dottrina) nel «</w:t>
      </w:r>
      <w:r w:rsidRPr="00B935F1">
        <w:rPr>
          <w:rFonts w:ascii="Garamond" w:hAnsi="Garamond"/>
          <w:i/>
          <w:iCs/>
          <w:color w:val="000000" w:themeColor="text1"/>
        </w:rPr>
        <w:t xml:space="preserve">wide </w:t>
      </w:r>
      <w:proofErr w:type="spellStart"/>
      <w:r w:rsidRPr="00B935F1">
        <w:rPr>
          <w:rFonts w:ascii="Garamond" w:hAnsi="Garamond"/>
          <w:i/>
          <w:iCs/>
          <w:color w:val="000000" w:themeColor="text1"/>
        </w:rPr>
        <w:t>margin</w:t>
      </w:r>
      <w:proofErr w:type="spellEnd"/>
      <w:r w:rsidRPr="00B935F1">
        <w:rPr>
          <w:rFonts w:ascii="Garamond" w:hAnsi="Garamond"/>
          <w:i/>
          <w:iCs/>
          <w:color w:val="000000" w:themeColor="text1"/>
        </w:rPr>
        <w:t xml:space="preserve"> of </w:t>
      </w:r>
      <w:proofErr w:type="spellStart"/>
      <w:r w:rsidRPr="00B935F1">
        <w:rPr>
          <w:rFonts w:ascii="Garamond" w:hAnsi="Garamond"/>
          <w:i/>
          <w:iCs/>
          <w:color w:val="000000" w:themeColor="text1"/>
        </w:rPr>
        <w:t>appreciation</w:t>
      </w:r>
      <w:proofErr w:type="spellEnd"/>
      <w:r w:rsidRPr="00B935F1">
        <w:rPr>
          <w:rFonts w:ascii="Garamond" w:hAnsi="Garamond"/>
          <w:iCs/>
          <w:color w:val="000000" w:themeColor="text1"/>
        </w:rPr>
        <w:t xml:space="preserve">» di cui gli Stati membri godono nella valutazione del bisogno di introdurre o meno detto obbligo vaccinale. </w:t>
      </w:r>
      <w:r w:rsidRPr="00B935F1">
        <w:rPr>
          <w:rFonts w:ascii="Garamond" w:hAnsi="Garamond"/>
          <w:iCs/>
          <w:smallCaps/>
          <w:color w:val="000000" w:themeColor="text1"/>
        </w:rPr>
        <w:t xml:space="preserve">Z. </w:t>
      </w:r>
      <w:proofErr w:type="spellStart"/>
      <w:r w:rsidRPr="00B935F1">
        <w:rPr>
          <w:rFonts w:ascii="Garamond" w:hAnsi="Garamond"/>
          <w:iCs/>
          <w:smallCaps/>
          <w:color w:val="000000" w:themeColor="text1"/>
        </w:rPr>
        <w:t>Vikarskà</w:t>
      </w:r>
      <w:proofErr w:type="spellEnd"/>
      <w:r w:rsidRPr="00B935F1">
        <w:rPr>
          <w:rFonts w:ascii="Garamond" w:hAnsi="Garamond"/>
          <w:iCs/>
          <w:color w:val="000000" w:themeColor="text1"/>
        </w:rPr>
        <w:t xml:space="preserve">, </w:t>
      </w:r>
      <w:proofErr w:type="spellStart"/>
      <w:r w:rsidRPr="00B935F1">
        <w:rPr>
          <w:rFonts w:ascii="Garamond" w:hAnsi="Garamond"/>
          <w:i/>
          <w:iCs/>
          <w:color w:val="000000" w:themeColor="text1"/>
        </w:rPr>
        <w:t>Is</w:t>
      </w:r>
      <w:proofErr w:type="spellEnd"/>
      <w:r w:rsidRPr="00B935F1">
        <w:rPr>
          <w:rFonts w:ascii="Garamond" w:hAnsi="Garamond"/>
          <w:i/>
          <w:iCs/>
          <w:color w:val="000000" w:themeColor="text1"/>
        </w:rPr>
        <w:t xml:space="preserve"> </w:t>
      </w:r>
      <w:proofErr w:type="spellStart"/>
      <w:r w:rsidRPr="00B935F1">
        <w:rPr>
          <w:rFonts w:ascii="Garamond" w:hAnsi="Garamond"/>
          <w:i/>
          <w:iCs/>
          <w:color w:val="000000" w:themeColor="text1"/>
        </w:rPr>
        <w:t>Compulsory</w:t>
      </w:r>
      <w:proofErr w:type="spellEnd"/>
      <w:r w:rsidRPr="00B935F1">
        <w:rPr>
          <w:rFonts w:ascii="Garamond" w:hAnsi="Garamond"/>
          <w:i/>
          <w:iCs/>
          <w:color w:val="000000" w:themeColor="text1"/>
        </w:rPr>
        <w:t xml:space="preserve"> </w:t>
      </w:r>
      <w:proofErr w:type="spellStart"/>
      <w:r w:rsidRPr="00B935F1">
        <w:rPr>
          <w:rFonts w:ascii="Garamond" w:hAnsi="Garamond"/>
          <w:i/>
          <w:iCs/>
          <w:color w:val="000000" w:themeColor="text1"/>
        </w:rPr>
        <w:t>Vaccination</w:t>
      </w:r>
      <w:proofErr w:type="spellEnd"/>
      <w:r w:rsidRPr="00B935F1">
        <w:rPr>
          <w:rFonts w:ascii="Garamond" w:hAnsi="Garamond"/>
          <w:i/>
          <w:iCs/>
          <w:color w:val="000000" w:themeColor="text1"/>
        </w:rPr>
        <w:t xml:space="preserve"> </w:t>
      </w:r>
      <w:proofErr w:type="spellStart"/>
      <w:proofErr w:type="gramStart"/>
      <w:r w:rsidRPr="00B935F1">
        <w:rPr>
          <w:rFonts w:ascii="Garamond" w:hAnsi="Garamond"/>
          <w:i/>
          <w:iCs/>
          <w:color w:val="000000" w:themeColor="text1"/>
        </w:rPr>
        <w:t>Compulsory</w:t>
      </w:r>
      <w:proofErr w:type="spellEnd"/>
      <w:r w:rsidRPr="00B935F1">
        <w:rPr>
          <w:rFonts w:ascii="Garamond" w:hAnsi="Garamond"/>
          <w:i/>
          <w:iCs/>
          <w:color w:val="000000" w:themeColor="text1"/>
        </w:rPr>
        <w:t>?</w:t>
      </w:r>
      <w:r w:rsidRPr="00B935F1">
        <w:rPr>
          <w:rFonts w:ascii="Garamond" w:hAnsi="Garamond"/>
          <w:iCs/>
          <w:color w:val="000000" w:themeColor="text1"/>
        </w:rPr>
        <w:t>,</w:t>
      </w:r>
      <w:proofErr w:type="gramEnd"/>
      <w:r w:rsidRPr="00B935F1">
        <w:rPr>
          <w:rFonts w:ascii="Garamond" w:hAnsi="Garamond"/>
          <w:iCs/>
          <w:color w:val="000000" w:themeColor="text1"/>
        </w:rPr>
        <w:t xml:space="preserve"> in </w:t>
      </w:r>
      <w:proofErr w:type="spellStart"/>
      <w:r w:rsidRPr="00B935F1">
        <w:rPr>
          <w:rFonts w:ascii="Garamond" w:hAnsi="Garamond"/>
          <w:i/>
          <w:iCs/>
          <w:color w:val="000000" w:themeColor="text1"/>
        </w:rPr>
        <w:t>Verfassungsblog</w:t>
      </w:r>
      <w:proofErr w:type="spellEnd"/>
      <w:r w:rsidRPr="00B935F1">
        <w:rPr>
          <w:rFonts w:ascii="Garamond" w:hAnsi="Garamond"/>
          <w:iCs/>
          <w:color w:val="000000" w:themeColor="text1"/>
        </w:rPr>
        <w:t>, 2021. Considerato che la decisione sulle vaccinazioni infantili è stata emessa dai giudici di Strasburgo nel corso della pandemia globale da Covid-19 (pubblicata nel mese di aprile 2021), è ragionevole ritenere che la Corte europea avesse inevitabilmente «</w:t>
      </w:r>
      <w:r w:rsidRPr="00156101">
        <w:rPr>
          <w:rFonts w:ascii="Garamond" w:hAnsi="Garamond"/>
          <w:iCs/>
          <w:color w:val="000000" w:themeColor="text1"/>
        </w:rPr>
        <w:t xml:space="preserve">in </w:t>
      </w:r>
      <w:proofErr w:type="spellStart"/>
      <w:r w:rsidRPr="00156101">
        <w:rPr>
          <w:rFonts w:ascii="Garamond" w:hAnsi="Garamond"/>
          <w:iCs/>
          <w:color w:val="000000" w:themeColor="text1"/>
        </w:rPr>
        <w:t>its</w:t>
      </w:r>
      <w:proofErr w:type="spellEnd"/>
      <w:r w:rsidRPr="00156101">
        <w:rPr>
          <w:rFonts w:ascii="Garamond" w:hAnsi="Garamond"/>
          <w:iCs/>
          <w:color w:val="000000" w:themeColor="text1"/>
        </w:rPr>
        <w:t xml:space="preserve"> mind the </w:t>
      </w:r>
      <w:proofErr w:type="spellStart"/>
      <w:r w:rsidRPr="00156101">
        <w:rPr>
          <w:rFonts w:ascii="Garamond" w:hAnsi="Garamond"/>
          <w:iCs/>
          <w:color w:val="000000" w:themeColor="text1"/>
        </w:rPr>
        <w:t>question</w:t>
      </w:r>
      <w:proofErr w:type="spellEnd"/>
      <w:r w:rsidRPr="00156101">
        <w:rPr>
          <w:rFonts w:ascii="Garamond" w:hAnsi="Garamond"/>
          <w:iCs/>
          <w:color w:val="000000" w:themeColor="text1"/>
        </w:rPr>
        <w:t xml:space="preserve"> of </w:t>
      </w:r>
      <w:proofErr w:type="spellStart"/>
      <w:r w:rsidRPr="00156101">
        <w:rPr>
          <w:rFonts w:ascii="Garamond" w:hAnsi="Garamond"/>
          <w:iCs/>
          <w:color w:val="000000" w:themeColor="text1"/>
        </w:rPr>
        <w:t>vaccination</w:t>
      </w:r>
      <w:proofErr w:type="spellEnd"/>
      <w:r w:rsidRPr="00156101">
        <w:rPr>
          <w:rFonts w:ascii="Garamond" w:hAnsi="Garamond"/>
          <w:iCs/>
          <w:color w:val="000000" w:themeColor="text1"/>
        </w:rPr>
        <w:t xml:space="preserve"> </w:t>
      </w:r>
      <w:proofErr w:type="spellStart"/>
      <w:r w:rsidRPr="00156101">
        <w:rPr>
          <w:rFonts w:ascii="Garamond" w:hAnsi="Garamond"/>
          <w:iCs/>
          <w:color w:val="000000" w:themeColor="text1"/>
        </w:rPr>
        <w:t>against</w:t>
      </w:r>
      <w:proofErr w:type="spellEnd"/>
      <w:r w:rsidRPr="00156101">
        <w:rPr>
          <w:rFonts w:ascii="Garamond" w:hAnsi="Garamond"/>
          <w:iCs/>
          <w:color w:val="000000" w:themeColor="text1"/>
        </w:rPr>
        <w:t xml:space="preserve"> the</w:t>
      </w:r>
      <w:r w:rsidRPr="00B935F1">
        <w:rPr>
          <w:rFonts w:ascii="Garamond" w:hAnsi="Garamond"/>
          <w:i/>
          <w:iCs/>
          <w:color w:val="000000" w:themeColor="text1"/>
        </w:rPr>
        <w:t xml:space="preserve"> </w:t>
      </w:r>
      <w:r w:rsidR="00752DA5" w:rsidRPr="00B935F1">
        <w:rPr>
          <w:rFonts w:ascii="Garamond" w:hAnsi="Garamond"/>
          <w:iCs/>
          <w:color w:val="000000" w:themeColor="text1"/>
        </w:rPr>
        <w:t>[</w:t>
      </w:r>
      <w:r w:rsidRPr="00B935F1">
        <w:rPr>
          <w:rFonts w:ascii="Garamond" w:hAnsi="Garamond"/>
          <w:iCs/>
          <w:color w:val="000000" w:themeColor="text1"/>
        </w:rPr>
        <w:t>corona</w:t>
      </w:r>
      <w:r w:rsidR="00752DA5" w:rsidRPr="00B935F1">
        <w:rPr>
          <w:rFonts w:ascii="Garamond" w:hAnsi="Garamond"/>
          <w:iCs/>
          <w:color w:val="000000" w:themeColor="text1"/>
        </w:rPr>
        <w:t>]</w:t>
      </w:r>
      <w:r w:rsidRPr="00156101">
        <w:rPr>
          <w:rFonts w:ascii="Garamond" w:hAnsi="Garamond"/>
          <w:iCs/>
          <w:color w:val="000000" w:themeColor="text1"/>
        </w:rPr>
        <w:t>virus</w:t>
      </w:r>
      <w:r w:rsidRPr="00B935F1">
        <w:rPr>
          <w:rFonts w:ascii="Garamond" w:hAnsi="Garamond"/>
          <w:iCs/>
          <w:color w:val="000000" w:themeColor="text1"/>
        </w:rPr>
        <w:t xml:space="preserve">». </w:t>
      </w:r>
      <w:r w:rsidRPr="00156101">
        <w:rPr>
          <w:rFonts w:ascii="Garamond" w:hAnsi="Garamond"/>
          <w:iCs/>
          <w:smallCaps/>
          <w:color w:val="000000" w:themeColor="text1"/>
          <w:lang w:val="en-US"/>
        </w:rPr>
        <w:t xml:space="preserve">A. </w:t>
      </w:r>
      <w:proofErr w:type="spellStart"/>
      <w:r w:rsidRPr="00156101">
        <w:rPr>
          <w:rFonts w:ascii="Garamond" w:hAnsi="Garamond"/>
          <w:iCs/>
          <w:smallCaps/>
          <w:color w:val="000000" w:themeColor="text1"/>
          <w:lang w:val="en-US"/>
        </w:rPr>
        <w:t>Alekseenko</w:t>
      </w:r>
      <w:proofErr w:type="spellEnd"/>
      <w:r w:rsidRPr="00156101">
        <w:rPr>
          <w:rFonts w:ascii="Garamond" w:hAnsi="Garamond"/>
          <w:iCs/>
          <w:color w:val="000000" w:themeColor="text1"/>
          <w:lang w:val="en-US"/>
        </w:rPr>
        <w:t xml:space="preserve">, </w:t>
      </w:r>
      <w:r w:rsidRPr="00156101">
        <w:rPr>
          <w:rFonts w:ascii="Garamond" w:hAnsi="Garamond"/>
          <w:i/>
          <w:iCs/>
          <w:color w:val="000000" w:themeColor="text1"/>
          <w:lang w:val="en-US"/>
        </w:rPr>
        <w:t xml:space="preserve">Implications for COVID-19 vaccination following the European Court of Human Right’s decision in </w:t>
      </w:r>
      <w:proofErr w:type="spellStart"/>
      <w:r w:rsidRPr="00156101">
        <w:rPr>
          <w:rFonts w:ascii="Garamond" w:hAnsi="Garamond"/>
          <w:i/>
          <w:iCs/>
          <w:color w:val="000000" w:themeColor="text1"/>
          <w:lang w:val="en-US"/>
        </w:rPr>
        <w:t>Vavřička</w:t>
      </w:r>
      <w:proofErr w:type="spellEnd"/>
      <w:r w:rsidRPr="00156101">
        <w:rPr>
          <w:rFonts w:ascii="Garamond" w:hAnsi="Garamond"/>
          <w:i/>
          <w:iCs/>
          <w:color w:val="000000" w:themeColor="text1"/>
          <w:lang w:val="en-US"/>
        </w:rPr>
        <w:t xml:space="preserve"> and </w:t>
      </w:r>
      <w:proofErr w:type="spellStart"/>
      <w:r w:rsidRPr="00156101">
        <w:rPr>
          <w:rFonts w:ascii="Garamond" w:hAnsi="Garamond"/>
          <w:i/>
          <w:iCs/>
          <w:color w:val="000000" w:themeColor="text1"/>
          <w:lang w:val="en-US"/>
        </w:rPr>
        <w:t>oths</w:t>
      </w:r>
      <w:proofErr w:type="spellEnd"/>
      <w:r w:rsidRPr="00156101">
        <w:rPr>
          <w:rFonts w:ascii="Garamond" w:hAnsi="Garamond"/>
          <w:i/>
          <w:iCs/>
          <w:color w:val="000000" w:themeColor="text1"/>
          <w:lang w:val="en-US"/>
        </w:rPr>
        <w:t xml:space="preserve"> v Czech</w:t>
      </w:r>
      <w:r w:rsidRPr="00156101">
        <w:rPr>
          <w:rFonts w:ascii="Garamond" w:hAnsi="Garamond"/>
          <w:iCs/>
          <w:color w:val="000000" w:themeColor="text1"/>
          <w:lang w:val="en-US"/>
        </w:rPr>
        <w:t xml:space="preserve">, in </w:t>
      </w:r>
      <w:r w:rsidRPr="00156101">
        <w:rPr>
          <w:rFonts w:ascii="Garamond" w:hAnsi="Garamond"/>
          <w:i/>
          <w:iCs/>
          <w:color w:val="000000" w:themeColor="text1"/>
          <w:lang w:val="en-US"/>
        </w:rPr>
        <w:t>Sage Journals Medical Law International</w:t>
      </w:r>
      <w:r w:rsidRPr="00156101">
        <w:rPr>
          <w:rFonts w:ascii="Garamond" w:hAnsi="Garamond"/>
          <w:iCs/>
          <w:color w:val="000000" w:themeColor="text1"/>
          <w:lang w:val="en-US"/>
        </w:rPr>
        <w:t xml:space="preserve">, 2022, pp. 75-89. </w:t>
      </w:r>
    </w:p>
  </w:footnote>
  <w:footnote w:id="56">
    <w:p w14:paraId="6CA58EBC" w14:textId="77777777" w:rsidR="006B1761" w:rsidRPr="0015610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156101">
        <w:rPr>
          <w:rFonts w:ascii="Garamond" w:hAnsi="Garamond"/>
          <w:color w:val="000000" w:themeColor="text1"/>
          <w:lang w:val="en-US"/>
        </w:rPr>
        <w:t xml:space="preserve"> Par. 133, </w:t>
      </w:r>
      <w:proofErr w:type="spellStart"/>
      <w:r w:rsidRPr="00156101">
        <w:rPr>
          <w:rFonts w:ascii="Garamond" w:hAnsi="Garamond"/>
          <w:color w:val="000000" w:themeColor="text1"/>
          <w:lang w:val="en-US"/>
        </w:rPr>
        <w:t>lett</w:t>
      </w:r>
      <w:proofErr w:type="spellEnd"/>
      <w:r w:rsidRPr="00156101">
        <w:rPr>
          <w:rFonts w:ascii="Garamond" w:hAnsi="Garamond"/>
          <w:color w:val="000000" w:themeColor="text1"/>
          <w:lang w:val="en-US"/>
        </w:rPr>
        <w:t xml:space="preserve">. b) </w:t>
      </w:r>
      <w:proofErr w:type="spellStart"/>
      <w:r w:rsidRPr="00156101">
        <w:rPr>
          <w:rFonts w:ascii="Garamond" w:hAnsi="Garamond"/>
          <w:i/>
          <w:color w:val="000000" w:themeColor="text1"/>
          <w:lang w:val="en-US"/>
        </w:rPr>
        <w:t>Vavricka</w:t>
      </w:r>
      <w:proofErr w:type="spellEnd"/>
      <w:r w:rsidRPr="00156101">
        <w:rPr>
          <w:rFonts w:ascii="Garamond" w:hAnsi="Garamond"/>
          <w:i/>
          <w:color w:val="000000" w:themeColor="text1"/>
          <w:lang w:val="en-US"/>
        </w:rPr>
        <w:t xml:space="preserve"> and Others v. the Czech Republic</w:t>
      </w:r>
      <w:r w:rsidRPr="00156101">
        <w:rPr>
          <w:rFonts w:ascii="Garamond" w:hAnsi="Garamond"/>
          <w:color w:val="000000" w:themeColor="text1"/>
          <w:lang w:val="en-US"/>
        </w:rPr>
        <w:t xml:space="preserve">, cit. </w:t>
      </w:r>
    </w:p>
  </w:footnote>
  <w:footnote w:id="57">
    <w:p w14:paraId="2661C0ED" w14:textId="35073BA2"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 132, lett. b). Il riferimento, come dimostra anche la Corte europea dei diritti umani, è certamente rivolto all’obbligo degli Stati parte della CEDU di adottare misure volte a incentivare la vaccinazione, e ad estendere, di conseguenza, la copertura vaccinale, con particolare riguardo alla necessità di tutelare adeguatamente la salute dei minori.</w:t>
      </w:r>
    </w:p>
  </w:footnote>
  <w:footnote w:id="58">
    <w:p w14:paraId="0F331D0A" w14:textId="17D660C5" w:rsidR="006B1761" w:rsidRPr="00B935F1" w:rsidRDefault="006B1761" w:rsidP="00B67169">
      <w:pPr>
        <w:pStyle w:val="Testonotaapidipagina"/>
        <w:jc w:val="both"/>
        <w:rPr>
          <w:rFonts w:ascii="Garamond" w:hAnsi="Garamond" w:cs="Times New Roman"/>
          <w:color w:val="000000" w:themeColor="text1"/>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rPr>
        <w:t xml:space="preserve"> V. sul punto </w:t>
      </w:r>
      <w:r w:rsidRPr="00B935F1">
        <w:rPr>
          <w:rFonts w:ascii="Garamond" w:hAnsi="Garamond" w:cs="Times New Roman"/>
          <w:smallCaps/>
          <w:color w:val="000000" w:themeColor="text1"/>
        </w:rPr>
        <w:t xml:space="preserve">P. </w:t>
      </w:r>
      <w:proofErr w:type="spellStart"/>
      <w:r w:rsidRPr="00B935F1">
        <w:rPr>
          <w:rFonts w:ascii="Garamond" w:hAnsi="Garamond" w:cs="Times New Roman"/>
          <w:smallCaps/>
          <w:color w:val="000000" w:themeColor="text1"/>
        </w:rPr>
        <w:t>Derosier</w:t>
      </w:r>
      <w:proofErr w:type="spellEnd"/>
      <w:r w:rsidRPr="00B935F1">
        <w:rPr>
          <w:rFonts w:ascii="Garamond" w:hAnsi="Garamond" w:cs="Times New Roman"/>
          <w:color w:val="000000" w:themeColor="text1"/>
        </w:rPr>
        <w:t xml:space="preserve">, intervista di A. Le Corre, </w:t>
      </w:r>
      <w:r w:rsidRPr="00B935F1">
        <w:rPr>
          <w:rFonts w:ascii="Garamond" w:hAnsi="Garamond" w:cs="Times New Roman"/>
          <w:i/>
          <w:color w:val="000000" w:themeColor="text1"/>
        </w:rPr>
        <w:t xml:space="preserve">Passe </w:t>
      </w:r>
      <w:proofErr w:type="spellStart"/>
      <w:r w:rsidRPr="00B935F1">
        <w:rPr>
          <w:rFonts w:ascii="Garamond" w:hAnsi="Garamond" w:cs="Times New Roman"/>
          <w:i/>
          <w:color w:val="000000" w:themeColor="text1"/>
        </w:rPr>
        <w:t>sanitaire</w:t>
      </w:r>
      <w:proofErr w:type="spellEnd"/>
      <w:r w:rsidRPr="00B935F1">
        <w:rPr>
          <w:rFonts w:ascii="Garamond" w:hAnsi="Garamond" w:cs="Times New Roman"/>
          <w:i/>
          <w:color w:val="000000" w:themeColor="text1"/>
        </w:rPr>
        <w:t xml:space="preserve"> : «La </w:t>
      </w:r>
      <w:proofErr w:type="spellStart"/>
      <w:r w:rsidRPr="00B935F1">
        <w:rPr>
          <w:rFonts w:ascii="Garamond" w:hAnsi="Garamond" w:cs="Times New Roman"/>
          <w:i/>
          <w:color w:val="000000" w:themeColor="text1"/>
        </w:rPr>
        <w:t>protection</w:t>
      </w:r>
      <w:proofErr w:type="spellEnd"/>
      <w:r w:rsidRPr="00B935F1">
        <w:rPr>
          <w:rFonts w:ascii="Garamond" w:hAnsi="Garamond" w:cs="Times New Roman"/>
          <w:i/>
          <w:color w:val="000000" w:themeColor="text1"/>
        </w:rPr>
        <w:t xml:space="preserve"> de la santé est </w:t>
      </w:r>
      <w:proofErr w:type="spellStart"/>
      <w:r w:rsidRPr="00B935F1">
        <w:rPr>
          <w:rFonts w:ascii="Garamond" w:hAnsi="Garamond" w:cs="Times New Roman"/>
          <w:i/>
          <w:color w:val="000000" w:themeColor="text1"/>
        </w:rPr>
        <w:t>devenu</w:t>
      </w:r>
      <w:proofErr w:type="spellEnd"/>
      <w:r w:rsidRPr="00B935F1">
        <w:rPr>
          <w:rFonts w:ascii="Garamond" w:hAnsi="Garamond" w:cs="Times New Roman"/>
          <w:i/>
          <w:color w:val="000000" w:themeColor="text1"/>
        </w:rPr>
        <w:t xml:space="preserve"> un principe cardinal pour le </w:t>
      </w:r>
      <w:proofErr w:type="spellStart"/>
      <w:r w:rsidRPr="00B935F1">
        <w:rPr>
          <w:rFonts w:ascii="Garamond" w:hAnsi="Garamond" w:cs="Times New Roman"/>
          <w:i/>
          <w:color w:val="000000" w:themeColor="text1"/>
        </w:rPr>
        <w:t>Conseil</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constitutionnel</w:t>
      </w:r>
      <w:proofErr w:type="spellEnd"/>
      <w:r w:rsidRPr="00B935F1">
        <w:rPr>
          <w:rFonts w:ascii="Garamond" w:hAnsi="Garamond" w:cs="Times New Roman"/>
          <w:color w:val="000000" w:themeColor="text1"/>
        </w:rPr>
        <w:t xml:space="preserve">», consultabile al link </w:t>
      </w:r>
      <w:hyperlink r:id="rId21" w:history="1">
        <w:r w:rsidRPr="00B935F1">
          <w:rPr>
            <w:rStyle w:val="Collegamentoipertestuale"/>
            <w:rFonts w:ascii="Garamond" w:hAnsi="Garamond" w:cs="Times New Roman"/>
            <w:color w:val="000000" w:themeColor="text1"/>
            <w:u w:val="none"/>
          </w:rPr>
          <w:t>https://www.lefigaro.fr/vox/societe/passe-sanitaire-la-protection-de-la-santeest-devenu-un-principe-cardinal-pour-le-conseil-constitutionnel-20210805</w:t>
        </w:r>
      </w:hyperlink>
      <w:r w:rsidRPr="00B935F1">
        <w:rPr>
          <w:rFonts w:ascii="Garamond" w:hAnsi="Garamond" w:cs="Times New Roman"/>
          <w:color w:val="000000" w:themeColor="text1"/>
        </w:rPr>
        <w:t xml:space="preserve">.  </w:t>
      </w:r>
    </w:p>
  </w:footnote>
  <w:footnote w:id="59">
    <w:p w14:paraId="36EDD36A" w14:textId="4D513288" w:rsidR="006B1761" w:rsidRPr="00B935F1" w:rsidRDefault="006B1761" w:rsidP="00B67169">
      <w:pPr>
        <w:pStyle w:val="Testonotaapidipagina"/>
        <w:jc w:val="both"/>
        <w:rPr>
          <w:rFonts w:ascii="Garamond" w:hAnsi="Garamond" w:cs="Times New Roman"/>
          <w:color w:val="000000" w:themeColor="text1"/>
        </w:rPr>
      </w:pPr>
      <w:r w:rsidRPr="00B935F1">
        <w:rPr>
          <w:rStyle w:val="Rimandonotaapidipagina"/>
          <w:rFonts w:ascii="Garamond" w:hAnsi="Garamond" w:cs="Times New Roman"/>
          <w:color w:val="000000" w:themeColor="text1"/>
        </w:rPr>
        <w:footnoteRef/>
      </w:r>
      <w:r w:rsidRPr="00B935F1">
        <w:rPr>
          <w:rFonts w:ascii="Garamond" w:hAnsi="Garamond" w:cs="Times New Roman"/>
          <w:color w:val="000000" w:themeColor="text1"/>
        </w:rPr>
        <w:t xml:space="preserve"> Sulla preoccupazione che l’eccezionalità delle misure di controllo per far fronte alla crisi sanitaria sia destinata a durare per un tempo non definito v. </w:t>
      </w:r>
      <w:r w:rsidRPr="00B935F1">
        <w:rPr>
          <w:rFonts w:ascii="Garamond" w:hAnsi="Garamond" w:cs="Times New Roman"/>
          <w:smallCaps/>
          <w:color w:val="000000" w:themeColor="text1"/>
        </w:rPr>
        <w:t xml:space="preserve">C. </w:t>
      </w:r>
      <w:proofErr w:type="spellStart"/>
      <w:r w:rsidRPr="00B935F1">
        <w:rPr>
          <w:rFonts w:ascii="Garamond" w:hAnsi="Garamond" w:cs="Times New Roman"/>
          <w:smallCaps/>
          <w:color w:val="000000" w:themeColor="text1"/>
        </w:rPr>
        <w:t>Richaud</w:t>
      </w:r>
      <w:proofErr w:type="spellEnd"/>
      <w:r w:rsidRPr="00B935F1">
        <w:rPr>
          <w:rFonts w:ascii="Garamond" w:hAnsi="Garamond" w:cs="Times New Roman"/>
          <w:color w:val="000000" w:themeColor="text1"/>
        </w:rPr>
        <w:t xml:space="preserve">, </w:t>
      </w:r>
      <w:proofErr w:type="spellStart"/>
      <w:r w:rsidRPr="00B935F1">
        <w:rPr>
          <w:rFonts w:ascii="Garamond" w:hAnsi="Garamond" w:cs="Times New Roman"/>
          <w:i/>
          <w:color w:val="000000" w:themeColor="text1"/>
        </w:rPr>
        <w:t>Réflexions</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dans</w:t>
      </w:r>
      <w:proofErr w:type="spellEnd"/>
      <w:r w:rsidRPr="00B935F1">
        <w:rPr>
          <w:rFonts w:ascii="Garamond" w:hAnsi="Garamond" w:cs="Times New Roman"/>
          <w:i/>
          <w:color w:val="000000" w:themeColor="text1"/>
        </w:rPr>
        <w:t xml:space="preserve"> l’</w:t>
      </w:r>
      <w:proofErr w:type="spellStart"/>
      <w:r w:rsidRPr="00B935F1">
        <w:rPr>
          <w:rFonts w:ascii="Garamond" w:hAnsi="Garamond" w:cs="Times New Roman"/>
          <w:i/>
          <w:color w:val="000000" w:themeColor="text1"/>
        </w:rPr>
        <w:t>urgence</w:t>
      </w:r>
      <w:proofErr w:type="spellEnd"/>
      <w:r w:rsidRPr="00B935F1">
        <w:rPr>
          <w:rFonts w:ascii="Garamond" w:hAnsi="Garamond" w:cs="Times New Roman"/>
          <w:i/>
          <w:color w:val="000000" w:themeColor="text1"/>
        </w:rPr>
        <w:t xml:space="preserve"> sur la </w:t>
      </w:r>
      <w:proofErr w:type="spellStart"/>
      <w:r w:rsidRPr="00B935F1">
        <w:rPr>
          <w:rFonts w:ascii="Garamond" w:hAnsi="Garamond" w:cs="Times New Roman"/>
          <w:i/>
          <w:color w:val="000000" w:themeColor="text1"/>
        </w:rPr>
        <w:t>constitutionnalité</w:t>
      </w:r>
      <w:proofErr w:type="spellEnd"/>
      <w:r w:rsidRPr="00B935F1">
        <w:rPr>
          <w:rFonts w:ascii="Garamond" w:hAnsi="Garamond" w:cs="Times New Roman"/>
          <w:i/>
          <w:color w:val="000000" w:themeColor="text1"/>
        </w:rPr>
        <w:t xml:space="preserve"> de l’extension </w:t>
      </w:r>
      <w:proofErr w:type="spellStart"/>
      <w:r w:rsidRPr="00B935F1">
        <w:rPr>
          <w:rFonts w:ascii="Garamond" w:hAnsi="Garamond" w:cs="Times New Roman"/>
          <w:i/>
          <w:color w:val="000000" w:themeColor="text1"/>
        </w:rPr>
        <w:t>du</w:t>
      </w:r>
      <w:proofErr w:type="spellEnd"/>
      <w:r w:rsidRPr="00B935F1">
        <w:rPr>
          <w:rFonts w:ascii="Garamond" w:hAnsi="Garamond" w:cs="Times New Roman"/>
          <w:i/>
          <w:color w:val="000000" w:themeColor="text1"/>
        </w:rPr>
        <w:t xml:space="preserve"> ‘passe </w:t>
      </w:r>
      <w:proofErr w:type="spellStart"/>
      <w:r w:rsidRPr="00B935F1">
        <w:rPr>
          <w:rFonts w:ascii="Garamond" w:hAnsi="Garamond" w:cs="Times New Roman"/>
          <w:i/>
          <w:color w:val="000000" w:themeColor="text1"/>
        </w:rPr>
        <w:t>sanitaire</w:t>
      </w:r>
      <w:proofErr w:type="spellEnd"/>
      <w:proofErr w:type="gramStart"/>
      <w:r w:rsidRPr="00B935F1">
        <w:rPr>
          <w:rFonts w:ascii="Garamond" w:hAnsi="Garamond" w:cs="Times New Roman"/>
          <w:i/>
          <w:color w:val="000000" w:themeColor="text1"/>
        </w:rPr>
        <w:t>’</w:t>
      </w:r>
      <w:r w:rsidRPr="00B935F1">
        <w:rPr>
          <w:rFonts w:ascii="Garamond" w:hAnsi="Garamond" w:cs="Times New Roman"/>
          <w:color w:val="000000" w:themeColor="text1"/>
        </w:rPr>
        <w:t>,  in</w:t>
      </w:r>
      <w:proofErr w:type="gramEnd"/>
      <w:r w:rsidRPr="00B935F1">
        <w:rPr>
          <w:rFonts w:ascii="Garamond" w:hAnsi="Garamond" w:cs="Times New Roman"/>
          <w:color w:val="000000" w:themeColor="text1"/>
        </w:rPr>
        <w:t xml:space="preserve"> </w:t>
      </w:r>
      <w:r w:rsidRPr="00B935F1">
        <w:rPr>
          <w:rFonts w:ascii="Garamond" w:hAnsi="Garamond" w:cs="Times New Roman"/>
          <w:i/>
          <w:color w:val="000000" w:themeColor="text1"/>
        </w:rPr>
        <w:t xml:space="preserve">La </w:t>
      </w:r>
      <w:proofErr w:type="spellStart"/>
      <w:r w:rsidRPr="00B935F1">
        <w:rPr>
          <w:rFonts w:ascii="Garamond" w:hAnsi="Garamond" w:cs="Times New Roman"/>
          <w:i/>
          <w:color w:val="000000" w:themeColor="text1"/>
        </w:rPr>
        <w:t>Semaine</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juridique</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Administrations</w:t>
      </w:r>
      <w:proofErr w:type="spellEnd"/>
      <w:r w:rsidRPr="00B935F1">
        <w:rPr>
          <w:rFonts w:ascii="Garamond" w:hAnsi="Garamond" w:cs="Times New Roman"/>
          <w:i/>
          <w:color w:val="000000" w:themeColor="text1"/>
        </w:rPr>
        <w:t xml:space="preserve"> et </w:t>
      </w:r>
      <w:proofErr w:type="spellStart"/>
      <w:r w:rsidRPr="00B935F1">
        <w:rPr>
          <w:rFonts w:ascii="Garamond" w:hAnsi="Garamond" w:cs="Times New Roman"/>
          <w:i/>
          <w:color w:val="000000" w:themeColor="text1"/>
        </w:rPr>
        <w:t>Collectivités</w:t>
      </w:r>
      <w:proofErr w:type="spellEnd"/>
      <w:r w:rsidRPr="00B935F1">
        <w:rPr>
          <w:rFonts w:ascii="Garamond" w:hAnsi="Garamond" w:cs="Times New Roman"/>
          <w:i/>
          <w:color w:val="000000" w:themeColor="text1"/>
        </w:rPr>
        <w:t xml:space="preserve"> </w:t>
      </w:r>
      <w:proofErr w:type="spellStart"/>
      <w:r w:rsidRPr="00B935F1">
        <w:rPr>
          <w:rFonts w:ascii="Garamond" w:hAnsi="Garamond" w:cs="Times New Roman"/>
          <w:i/>
          <w:color w:val="000000" w:themeColor="text1"/>
        </w:rPr>
        <w:t>territoriales</w:t>
      </w:r>
      <w:proofErr w:type="spellEnd"/>
      <w:r w:rsidRPr="00B935F1">
        <w:rPr>
          <w:rFonts w:ascii="Garamond" w:hAnsi="Garamond" w:cs="Times New Roman"/>
          <w:color w:val="000000" w:themeColor="text1"/>
        </w:rPr>
        <w:t>, 2021, pp. 485.</w:t>
      </w:r>
    </w:p>
  </w:footnote>
  <w:footnote w:id="60">
    <w:p w14:paraId="5CD4479F" w14:textId="43DC98BD" w:rsidR="006B1761" w:rsidRPr="0015610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Si pensi, ad esempio, ai ricorsi congiunti del 2 settembre 2021, n. 43375/21 (</w:t>
      </w:r>
      <w:proofErr w:type="spellStart"/>
      <w:r w:rsidRPr="00B935F1">
        <w:rPr>
          <w:rFonts w:ascii="Garamond" w:hAnsi="Garamond"/>
          <w:i/>
          <w:color w:val="000000" w:themeColor="text1"/>
        </w:rPr>
        <w:t>Kakaletri</w:t>
      </w:r>
      <w:proofErr w:type="spellEnd"/>
      <w:r w:rsidRPr="00B935F1">
        <w:rPr>
          <w:rFonts w:ascii="Garamond" w:hAnsi="Garamond"/>
          <w:i/>
          <w:color w:val="000000" w:themeColor="text1"/>
        </w:rPr>
        <w:t xml:space="preserve"> and Others v. </w:t>
      </w:r>
      <w:proofErr w:type="spellStart"/>
      <w:r w:rsidRPr="00B935F1">
        <w:rPr>
          <w:rFonts w:ascii="Garamond" w:hAnsi="Garamond"/>
          <w:i/>
          <w:color w:val="000000" w:themeColor="text1"/>
        </w:rPr>
        <w:t>Greece</w:t>
      </w:r>
      <w:proofErr w:type="spellEnd"/>
      <w:r w:rsidRPr="00B935F1">
        <w:rPr>
          <w:rFonts w:ascii="Garamond" w:hAnsi="Garamond"/>
          <w:color w:val="000000" w:themeColor="text1"/>
        </w:rPr>
        <w:t>) e n. 43910/21 (</w:t>
      </w:r>
      <w:proofErr w:type="spellStart"/>
      <w:r w:rsidRPr="00B935F1">
        <w:rPr>
          <w:rFonts w:ascii="Garamond" w:hAnsi="Garamond"/>
          <w:i/>
          <w:color w:val="000000" w:themeColor="text1"/>
        </w:rPr>
        <w:t>Theofanopoulou</w:t>
      </w:r>
      <w:proofErr w:type="spellEnd"/>
      <w:r w:rsidRPr="00B935F1">
        <w:rPr>
          <w:rFonts w:ascii="Garamond" w:hAnsi="Garamond"/>
          <w:i/>
          <w:color w:val="000000" w:themeColor="text1"/>
        </w:rPr>
        <w:t xml:space="preserve"> and Others v. </w:t>
      </w:r>
      <w:proofErr w:type="spellStart"/>
      <w:r w:rsidRPr="00B935F1">
        <w:rPr>
          <w:rFonts w:ascii="Garamond" w:hAnsi="Garamond"/>
          <w:i/>
          <w:color w:val="000000" w:themeColor="text1"/>
        </w:rPr>
        <w:t>Greece</w:t>
      </w:r>
      <w:proofErr w:type="spellEnd"/>
      <w:r w:rsidRPr="00B935F1">
        <w:rPr>
          <w:rFonts w:ascii="Garamond" w:hAnsi="Garamond"/>
          <w:color w:val="000000" w:themeColor="text1"/>
        </w:rPr>
        <w:t xml:space="preserve">) presentati da trenta paramedici greci (alcuni di questi, indipendenti, altri, impiegati nel servizio sanitario nazionale) che chiedevano alla Corte la sospensione dall’obbligo di vaccinazione, previsto nella sezione 206 della legge nazionale n. 4820/21 per tali categorie di lavoratori, in quanto ad avviso dei ricorrenti tale misura si poneva in contrasto con gli artt. 2, 3, 4, 5, 6, 8 e 14 della CEDU. Nel caso di specie, la Corte ha rigettato la misura </w:t>
      </w:r>
      <w:r w:rsidRPr="00B935F1">
        <w:rPr>
          <w:rFonts w:ascii="Garamond" w:hAnsi="Garamond"/>
          <w:i/>
          <w:color w:val="000000" w:themeColor="text1"/>
        </w:rPr>
        <w:t>ad interim</w:t>
      </w:r>
      <w:r w:rsidRPr="00B935F1">
        <w:rPr>
          <w:rFonts w:ascii="Garamond" w:hAnsi="Garamond"/>
          <w:color w:val="000000" w:themeColor="text1"/>
        </w:rPr>
        <w:t xml:space="preserve"> domandata dalle parti, sul presupposto che una tale richiesta esulava dall’ambito di applicazione di cui all’art. 39 (Regolamento interno della Corte), esplicitando che misure di questa portata potranno essere concesse solo in circostanze eccezionali in cui la vittima altrimenti avrebbe subito un pregiudizio grave ed irreparabile. </w:t>
      </w:r>
      <w:r w:rsidRPr="00156101">
        <w:rPr>
          <w:rFonts w:ascii="Garamond" w:hAnsi="Garamond"/>
          <w:i/>
          <w:color w:val="000000" w:themeColor="text1"/>
          <w:lang w:val="en-US"/>
        </w:rPr>
        <w:t>Interim</w:t>
      </w:r>
      <w:r w:rsidRPr="00156101">
        <w:rPr>
          <w:rFonts w:ascii="Garamond" w:hAnsi="Garamond"/>
          <w:color w:val="000000" w:themeColor="text1"/>
          <w:lang w:val="en-US"/>
        </w:rPr>
        <w:t xml:space="preserve"> </w:t>
      </w:r>
      <w:r w:rsidRPr="00156101">
        <w:rPr>
          <w:rFonts w:ascii="Garamond" w:hAnsi="Garamond"/>
          <w:i/>
          <w:color w:val="000000" w:themeColor="text1"/>
          <w:lang w:val="en-US"/>
        </w:rPr>
        <w:t xml:space="preserve">Decision of the European Court of Human Rights of 9 </w:t>
      </w:r>
      <w:proofErr w:type="spellStart"/>
      <w:r w:rsidRPr="00156101">
        <w:rPr>
          <w:rFonts w:ascii="Garamond" w:hAnsi="Garamond"/>
          <w:i/>
          <w:color w:val="000000" w:themeColor="text1"/>
          <w:lang w:val="en-US"/>
        </w:rPr>
        <w:t>september</w:t>
      </w:r>
      <w:proofErr w:type="spellEnd"/>
      <w:r w:rsidRPr="00156101">
        <w:rPr>
          <w:rFonts w:ascii="Garamond" w:hAnsi="Garamond"/>
          <w:i/>
          <w:color w:val="000000" w:themeColor="text1"/>
          <w:lang w:val="en-US"/>
        </w:rPr>
        <w:t xml:space="preserve"> 2021</w:t>
      </w:r>
      <w:r w:rsidRPr="00156101">
        <w:rPr>
          <w:rFonts w:ascii="Garamond" w:hAnsi="Garamond"/>
          <w:color w:val="000000" w:themeColor="text1"/>
          <w:lang w:val="en-US"/>
        </w:rPr>
        <w:t xml:space="preserve">, </w:t>
      </w:r>
      <w:r w:rsidRPr="00156101">
        <w:rPr>
          <w:rFonts w:ascii="Garamond" w:hAnsi="Garamond"/>
          <w:i/>
          <w:color w:val="000000" w:themeColor="text1"/>
          <w:lang w:val="en-US"/>
        </w:rPr>
        <w:t>Refusal of requests for interim measures in respect of the Greek law on compulsory vaccination of health-sector staff against Covid-19</w:t>
      </w:r>
      <w:r w:rsidRPr="00156101">
        <w:rPr>
          <w:rFonts w:ascii="Garamond" w:hAnsi="Garamond"/>
          <w:color w:val="000000" w:themeColor="text1"/>
          <w:lang w:val="en-US"/>
        </w:rPr>
        <w:t xml:space="preserve">, </w:t>
      </w:r>
      <w:r w:rsidRPr="00156101">
        <w:rPr>
          <w:rFonts w:ascii="Garamond" w:hAnsi="Garamond"/>
          <w:i/>
          <w:color w:val="000000" w:themeColor="text1"/>
          <w:lang w:val="en-US"/>
        </w:rPr>
        <w:t xml:space="preserve">joined application no. 43375 and 43910/21, </w:t>
      </w:r>
      <w:proofErr w:type="spellStart"/>
      <w:r w:rsidRPr="00156101">
        <w:rPr>
          <w:rFonts w:ascii="Garamond" w:hAnsi="Garamond"/>
          <w:i/>
          <w:color w:val="000000" w:themeColor="text1"/>
          <w:lang w:val="en-US"/>
        </w:rPr>
        <w:t>Kakaletri</w:t>
      </w:r>
      <w:proofErr w:type="spellEnd"/>
      <w:r w:rsidRPr="00156101">
        <w:rPr>
          <w:rFonts w:ascii="Garamond" w:hAnsi="Garamond"/>
          <w:i/>
          <w:color w:val="000000" w:themeColor="text1"/>
          <w:lang w:val="en-US"/>
        </w:rPr>
        <w:t xml:space="preserve"> and Others v. Greece – </w:t>
      </w:r>
      <w:proofErr w:type="spellStart"/>
      <w:r w:rsidRPr="00156101">
        <w:rPr>
          <w:rFonts w:ascii="Garamond" w:hAnsi="Garamond"/>
          <w:i/>
          <w:color w:val="000000" w:themeColor="text1"/>
          <w:lang w:val="en-US"/>
        </w:rPr>
        <w:t>Theofanopoulou</w:t>
      </w:r>
      <w:proofErr w:type="spellEnd"/>
      <w:r w:rsidRPr="00156101">
        <w:rPr>
          <w:rFonts w:ascii="Garamond" w:hAnsi="Garamond"/>
          <w:i/>
          <w:color w:val="000000" w:themeColor="text1"/>
          <w:lang w:val="en-US"/>
        </w:rPr>
        <w:t xml:space="preserve"> and Others v. Greece</w:t>
      </w:r>
      <w:r w:rsidRPr="00156101">
        <w:rPr>
          <w:rFonts w:ascii="Garamond" w:hAnsi="Garamond"/>
          <w:color w:val="000000" w:themeColor="text1"/>
          <w:lang w:val="en-US"/>
        </w:rPr>
        <w:t>.</w:t>
      </w:r>
    </w:p>
  </w:footnote>
  <w:footnote w:id="61">
    <w:p w14:paraId="56CC8EDA" w14:textId="09BC03A2" w:rsidR="006B1761" w:rsidRPr="0015610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Anche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l’Assemblea</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parlamentare</w:t>
      </w:r>
      <w:proofErr w:type="spellEnd"/>
      <w:r w:rsidRPr="00156101">
        <w:rPr>
          <w:rFonts w:ascii="Garamond" w:hAnsi="Garamond"/>
          <w:color w:val="000000" w:themeColor="text1"/>
          <w:lang w:val="en-US"/>
        </w:rPr>
        <w:t xml:space="preserve"> del </w:t>
      </w:r>
      <w:proofErr w:type="spellStart"/>
      <w:r w:rsidRPr="00156101">
        <w:rPr>
          <w:rFonts w:ascii="Garamond" w:hAnsi="Garamond"/>
          <w:color w:val="000000" w:themeColor="text1"/>
          <w:lang w:val="en-US"/>
        </w:rPr>
        <w:t>Consiglio</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d’Europa</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nella</w:t>
      </w:r>
      <w:proofErr w:type="spellEnd"/>
      <w:r w:rsidRPr="00156101">
        <w:rPr>
          <w:rFonts w:ascii="Garamond" w:hAnsi="Garamond"/>
          <w:color w:val="000000" w:themeColor="text1"/>
          <w:lang w:val="en-US"/>
        </w:rPr>
        <w:t xml:space="preserve"> nota </w:t>
      </w:r>
      <w:proofErr w:type="spellStart"/>
      <w:r w:rsidRPr="00156101">
        <w:rPr>
          <w:rFonts w:ascii="Garamond" w:hAnsi="Garamond"/>
          <w:color w:val="000000" w:themeColor="text1"/>
          <w:lang w:val="en-US"/>
        </w:rPr>
        <w:t>risoluzione</w:t>
      </w:r>
      <w:proofErr w:type="spellEnd"/>
      <w:r w:rsidRPr="00156101">
        <w:rPr>
          <w:rFonts w:ascii="Garamond" w:hAnsi="Garamond"/>
          <w:color w:val="000000" w:themeColor="text1"/>
          <w:lang w:val="en-US"/>
        </w:rPr>
        <w:t xml:space="preserve"> 2361/2021, </w:t>
      </w:r>
      <w:proofErr w:type="spellStart"/>
      <w:r w:rsidRPr="00156101">
        <w:rPr>
          <w:rFonts w:ascii="Garamond" w:hAnsi="Garamond"/>
          <w:color w:val="000000" w:themeColor="text1"/>
          <w:lang w:val="en-US"/>
        </w:rPr>
        <w:t>adottata</w:t>
      </w:r>
      <w:proofErr w:type="spellEnd"/>
      <w:r w:rsidRPr="00156101">
        <w:rPr>
          <w:rFonts w:ascii="Garamond" w:hAnsi="Garamond"/>
          <w:color w:val="000000" w:themeColor="text1"/>
          <w:lang w:val="en-US"/>
        </w:rPr>
        <w:t xml:space="preserve"> il 27 </w:t>
      </w:r>
      <w:proofErr w:type="spellStart"/>
      <w:r w:rsidRPr="00156101">
        <w:rPr>
          <w:rFonts w:ascii="Garamond" w:hAnsi="Garamond"/>
          <w:color w:val="000000" w:themeColor="text1"/>
          <w:lang w:val="en-US"/>
        </w:rPr>
        <w:t>gennaio</w:t>
      </w:r>
      <w:proofErr w:type="spellEnd"/>
      <w:r w:rsidRPr="00156101">
        <w:rPr>
          <w:rFonts w:ascii="Garamond" w:hAnsi="Garamond"/>
          <w:color w:val="000000" w:themeColor="text1"/>
          <w:lang w:val="en-US"/>
        </w:rPr>
        <w:t xml:space="preserve"> 2021, al par. 4, ha </w:t>
      </w:r>
      <w:proofErr w:type="spellStart"/>
      <w:r w:rsidRPr="00156101">
        <w:rPr>
          <w:rFonts w:ascii="Garamond" w:hAnsi="Garamond"/>
          <w:color w:val="000000" w:themeColor="text1"/>
          <w:lang w:val="en-US"/>
        </w:rPr>
        <w:t>correttamente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evidenziato</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che</w:t>
      </w:r>
      <w:proofErr w:type="spellEnd"/>
      <w:r w:rsidRPr="00156101">
        <w:rPr>
          <w:rFonts w:ascii="Garamond" w:hAnsi="Garamond"/>
          <w:color w:val="000000" w:themeColor="text1"/>
          <w:lang w:val="en-US"/>
        </w:rPr>
        <w:t xml:space="preserve"> «the speed at which the vaccines are being developed may cause a feeling of mistrust that is difficult to combat». Resolution of the Parliamentary assembly of the Council of Europe of 27 </w:t>
      </w:r>
      <w:proofErr w:type="spellStart"/>
      <w:r w:rsidRPr="00156101">
        <w:rPr>
          <w:rFonts w:ascii="Garamond" w:hAnsi="Garamond"/>
          <w:color w:val="000000" w:themeColor="text1"/>
          <w:lang w:val="en-US"/>
        </w:rPr>
        <w:t>january</w:t>
      </w:r>
      <w:proofErr w:type="spellEnd"/>
      <w:r w:rsidRPr="00156101">
        <w:rPr>
          <w:rFonts w:ascii="Garamond" w:hAnsi="Garamond"/>
          <w:color w:val="000000" w:themeColor="text1"/>
          <w:lang w:val="en-US"/>
        </w:rPr>
        <w:t xml:space="preserve"> 2021, Covid-19 vaccines: ethical, </w:t>
      </w:r>
      <w:proofErr w:type="gramStart"/>
      <w:r w:rsidRPr="00156101">
        <w:rPr>
          <w:rFonts w:ascii="Garamond" w:hAnsi="Garamond"/>
          <w:color w:val="000000" w:themeColor="text1"/>
          <w:lang w:val="en-US"/>
        </w:rPr>
        <w:t>legal</w:t>
      </w:r>
      <w:proofErr w:type="gramEnd"/>
      <w:r w:rsidRPr="00156101">
        <w:rPr>
          <w:rFonts w:ascii="Garamond" w:hAnsi="Garamond"/>
          <w:color w:val="000000" w:themeColor="text1"/>
          <w:lang w:val="en-US"/>
        </w:rPr>
        <w:t xml:space="preserve"> and practical considerations, n. 2361/2021.</w:t>
      </w:r>
    </w:p>
  </w:footnote>
  <w:footnote w:id="62">
    <w:p w14:paraId="00913736" w14:textId="26E1E061" w:rsidR="006B1761" w:rsidRPr="000D593D" w:rsidRDefault="006B1761" w:rsidP="00B67169">
      <w:pPr>
        <w:pStyle w:val="Testonotaapidipagina"/>
        <w:jc w:val="both"/>
        <w:rPr>
          <w:rFonts w:ascii="Garamond" w:hAnsi="Garamond" w:cs="Times New Roman (Corpo CS)"/>
          <w:color w:val="000000" w:themeColor="text1"/>
          <w:spacing w:val="-4"/>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 197. Rafforzare l’accettazione e la fiducia che i cittadini ripongono sui preparati vaccinali costituisce una sfida di straordinaria importanza, affrontata più volte dal Consiglio d’Europa e dall’Unione europea nel corso della pandemia da Covid-19, con atti (per lo più di </w:t>
      </w:r>
      <w:r w:rsidRPr="00B935F1">
        <w:rPr>
          <w:rFonts w:ascii="Garamond" w:hAnsi="Garamond"/>
          <w:i/>
          <w:color w:val="000000" w:themeColor="text1"/>
        </w:rPr>
        <w:t>soft law</w:t>
      </w:r>
      <w:r w:rsidRPr="00B935F1">
        <w:rPr>
          <w:rFonts w:ascii="Garamond" w:hAnsi="Garamond"/>
          <w:color w:val="000000" w:themeColor="text1"/>
        </w:rPr>
        <w:t>) volti non solo a riaffermare il ruolo cruciale della vaccinazione nel contenere l’emergenza sanitaria da Covid-19, ma anche ad esaltarne in linea generale la prevalenza dei benefici rispetto ai rischi derivanti dai predetti vaccini</w:t>
      </w:r>
      <w:r w:rsidRPr="00B935F1">
        <w:rPr>
          <w:rFonts w:ascii="Garamond" w:hAnsi="Garamond"/>
          <w:i/>
          <w:color w:val="000000" w:themeColor="text1"/>
        </w:rPr>
        <w:t xml:space="preserve">. </w:t>
      </w:r>
      <w:bookmarkStart w:id="2" w:name="_Hlk121426667"/>
      <w:r w:rsidRPr="00156101">
        <w:rPr>
          <w:rFonts w:ascii="Garamond" w:hAnsi="Garamond"/>
          <w:i/>
          <w:color w:val="000000" w:themeColor="text1"/>
          <w:lang w:val="en-US"/>
        </w:rPr>
        <w:t>Resolution n. 2361/2021</w:t>
      </w:r>
      <w:r w:rsidRPr="00156101">
        <w:rPr>
          <w:rFonts w:ascii="Garamond" w:hAnsi="Garamond"/>
          <w:color w:val="000000" w:themeColor="text1"/>
          <w:lang w:val="en-US"/>
        </w:rPr>
        <w:t xml:space="preserve">, cit. </w:t>
      </w:r>
      <w:r w:rsidRPr="00156101">
        <w:rPr>
          <w:rFonts w:ascii="Garamond" w:hAnsi="Garamond"/>
          <w:i/>
          <w:color w:val="000000" w:themeColor="text1"/>
          <w:lang w:val="en-US"/>
        </w:rPr>
        <w:t xml:space="preserve">Covid-19 vaccines: ethical, </w:t>
      </w:r>
      <w:proofErr w:type="gramStart"/>
      <w:r w:rsidRPr="00156101">
        <w:rPr>
          <w:rFonts w:ascii="Garamond" w:hAnsi="Garamond"/>
          <w:i/>
          <w:color w:val="000000" w:themeColor="text1"/>
          <w:lang w:val="en-US"/>
        </w:rPr>
        <w:t>legal</w:t>
      </w:r>
      <w:proofErr w:type="gramEnd"/>
      <w:r w:rsidRPr="00156101">
        <w:rPr>
          <w:rFonts w:ascii="Garamond" w:hAnsi="Garamond"/>
          <w:i/>
          <w:color w:val="000000" w:themeColor="text1"/>
          <w:lang w:val="en-US"/>
        </w:rPr>
        <w:t xml:space="preserve"> and practical considerations</w:t>
      </w:r>
      <w:r w:rsidRPr="00156101">
        <w:rPr>
          <w:rFonts w:ascii="Garamond" w:hAnsi="Garamond"/>
          <w:color w:val="000000" w:themeColor="text1"/>
          <w:lang w:val="en-US"/>
        </w:rPr>
        <w:t xml:space="preserve">. </w:t>
      </w:r>
      <w:r w:rsidRPr="00B935F1">
        <w:rPr>
          <w:rFonts w:ascii="Garamond" w:hAnsi="Garamond"/>
          <w:i/>
          <w:color w:val="000000" w:themeColor="text1"/>
          <w:lang w:val="en-US"/>
        </w:rPr>
        <w:t>European Centre for Disease Prevention and Control</w:t>
      </w:r>
      <w:r w:rsidRPr="00B935F1">
        <w:rPr>
          <w:rFonts w:ascii="Garamond" w:hAnsi="Garamond"/>
          <w:color w:val="000000" w:themeColor="text1"/>
          <w:lang w:val="en-US"/>
        </w:rPr>
        <w:t xml:space="preserve">, </w:t>
      </w:r>
      <w:r w:rsidRPr="00B935F1">
        <w:rPr>
          <w:rFonts w:ascii="Garamond" w:hAnsi="Garamond"/>
          <w:i/>
          <w:color w:val="000000" w:themeColor="text1"/>
          <w:lang w:val="en-US"/>
        </w:rPr>
        <w:t xml:space="preserve">Vaccine </w:t>
      </w:r>
      <w:proofErr w:type="gramStart"/>
      <w:r w:rsidRPr="00B935F1">
        <w:rPr>
          <w:rFonts w:ascii="Garamond" w:hAnsi="Garamond"/>
          <w:i/>
          <w:color w:val="000000" w:themeColor="text1"/>
          <w:lang w:val="en-US"/>
        </w:rPr>
        <w:t>hesitancy</w:t>
      </w:r>
      <w:r w:rsidRPr="00B935F1">
        <w:rPr>
          <w:rFonts w:ascii="Garamond" w:hAnsi="Garamond"/>
          <w:color w:val="000000" w:themeColor="text1"/>
          <w:lang w:val="en-US"/>
        </w:rPr>
        <w:t xml:space="preserve">,   </w:t>
      </w:r>
      <w:proofErr w:type="gramEnd"/>
      <w:r>
        <w:fldChar w:fldCharType="begin"/>
      </w:r>
      <w:r w:rsidRPr="00156101">
        <w:rPr>
          <w:lang w:val="en-US"/>
        </w:rPr>
        <w:instrText xml:space="preserve"> HYPERLINK "https://www.ecdc.europa.eu/en/immunisation-vaccines/vaccine-hesitancy" </w:instrText>
      </w:r>
      <w:r>
        <w:fldChar w:fldCharType="separate"/>
      </w:r>
      <w:r w:rsidRPr="00B935F1">
        <w:rPr>
          <w:rStyle w:val="Collegamentoipertestuale"/>
          <w:rFonts w:ascii="Garamond" w:hAnsi="Garamond"/>
          <w:color w:val="000000" w:themeColor="text1"/>
          <w:u w:val="none"/>
          <w:lang w:val="en-US"/>
        </w:rPr>
        <w:t>https://www.ecdc.europa.eu/en/immunisation-vaccines/vaccine-hesitancy</w:t>
      </w:r>
      <w:r>
        <w:rPr>
          <w:rStyle w:val="Collegamentoipertestuale"/>
          <w:rFonts w:ascii="Garamond" w:hAnsi="Garamond"/>
          <w:color w:val="000000" w:themeColor="text1"/>
          <w:u w:val="none"/>
          <w:lang w:val="en-US"/>
        </w:rPr>
        <w:fldChar w:fldCharType="end"/>
      </w:r>
      <w:r w:rsidRPr="00B935F1">
        <w:rPr>
          <w:rFonts w:ascii="Garamond" w:hAnsi="Garamond"/>
          <w:color w:val="000000" w:themeColor="text1"/>
          <w:lang w:val="en-US"/>
        </w:rPr>
        <w:t xml:space="preserve">. </w:t>
      </w:r>
      <w:bookmarkEnd w:id="2"/>
      <w:r w:rsidRPr="00156101">
        <w:rPr>
          <w:rFonts w:ascii="Garamond" w:hAnsi="Garamond"/>
          <w:i/>
          <w:color w:val="000000" w:themeColor="text1"/>
          <w:lang w:val="en-US"/>
        </w:rPr>
        <w:t>WHO</w:t>
      </w:r>
      <w:r w:rsidRPr="00156101">
        <w:rPr>
          <w:rFonts w:ascii="Garamond" w:hAnsi="Garamond"/>
          <w:color w:val="000000" w:themeColor="text1"/>
          <w:lang w:val="en-US"/>
        </w:rPr>
        <w:t xml:space="preserve">, </w:t>
      </w:r>
      <w:proofErr w:type="spellStart"/>
      <w:r w:rsidRPr="00156101">
        <w:rPr>
          <w:rFonts w:ascii="Garamond" w:hAnsi="Garamond"/>
          <w:i/>
          <w:color w:val="000000" w:themeColor="text1"/>
          <w:lang w:val="en-US"/>
        </w:rPr>
        <w:t>Infodemics</w:t>
      </w:r>
      <w:proofErr w:type="spellEnd"/>
      <w:r w:rsidRPr="00156101">
        <w:rPr>
          <w:rFonts w:ascii="Garamond" w:hAnsi="Garamond"/>
          <w:i/>
          <w:color w:val="000000" w:themeColor="text1"/>
          <w:lang w:val="en-US"/>
        </w:rPr>
        <w:t xml:space="preserve"> and misinformation negatively affect people’s health </w:t>
      </w:r>
      <w:proofErr w:type="spellStart"/>
      <w:r w:rsidRPr="00156101">
        <w:rPr>
          <w:rFonts w:ascii="Garamond" w:hAnsi="Garamond"/>
          <w:i/>
          <w:color w:val="000000" w:themeColor="text1"/>
          <w:lang w:val="en-US"/>
        </w:rPr>
        <w:t>behaviours</w:t>
      </w:r>
      <w:proofErr w:type="spellEnd"/>
      <w:r w:rsidRPr="00156101">
        <w:rPr>
          <w:rFonts w:ascii="Garamond" w:hAnsi="Garamond"/>
          <w:i/>
          <w:color w:val="000000" w:themeColor="text1"/>
          <w:lang w:val="en-US"/>
        </w:rPr>
        <w:t>, new WHO review finds</w:t>
      </w:r>
      <w:r w:rsidRPr="00156101">
        <w:rPr>
          <w:rFonts w:ascii="Garamond" w:hAnsi="Garamond"/>
          <w:color w:val="000000" w:themeColor="text1"/>
          <w:lang w:val="en-US"/>
        </w:rPr>
        <w:t xml:space="preserve">, 1 </w:t>
      </w:r>
      <w:proofErr w:type="spellStart"/>
      <w:r w:rsidRPr="00156101">
        <w:rPr>
          <w:rFonts w:ascii="Garamond" w:hAnsi="Garamond"/>
          <w:color w:val="000000" w:themeColor="text1"/>
          <w:lang w:val="en-US"/>
        </w:rPr>
        <w:t>september</w:t>
      </w:r>
      <w:proofErr w:type="spellEnd"/>
      <w:r w:rsidRPr="00156101">
        <w:rPr>
          <w:rFonts w:ascii="Garamond" w:hAnsi="Garamond"/>
          <w:color w:val="000000" w:themeColor="text1"/>
          <w:lang w:val="en-US"/>
        </w:rPr>
        <w:t xml:space="preserve"> 2022, </w:t>
      </w:r>
      <w:hyperlink r:id="rId22" w:history="1">
        <w:r w:rsidRPr="00156101">
          <w:rPr>
            <w:rStyle w:val="Collegamentoipertestuale"/>
            <w:rFonts w:ascii="Garamond" w:hAnsi="Garamond"/>
            <w:color w:val="000000" w:themeColor="text1"/>
            <w:u w:val="none"/>
            <w:lang w:val="en-US"/>
          </w:rPr>
          <w:t>https://www.who.int/europe/news/item/01-09-2022-infodemics-and-misinformation-negatively-affect-people-s-health-behaviours--new-who-review-finds</w:t>
        </w:r>
      </w:hyperlink>
      <w:r w:rsidRPr="00156101">
        <w:rPr>
          <w:rFonts w:ascii="Garamond" w:hAnsi="Garamond"/>
          <w:color w:val="000000" w:themeColor="text1"/>
          <w:lang w:val="en-US"/>
        </w:rPr>
        <w:t xml:space="preserve">. </w:t>
      </w:r>
      <w:proofErr w:type="spellStart"/>
      <w:r w:rsidRPr="00B935F1">
        <w:rPr>
          <w:rFonts w:ascii="Garamond" w:hAnsi="Garamond"/>
          <w:color w:val="000000" w:themeColor="text1"/>
        </w:rPr>
        <w:t>Cionostante</w:t>
      </w:r>
      <w:proofErr w:type="spellEnd"/>
      <w:r w:rsidRPr="00B935F1">
        <w:rPr>
          <w:rFonts w:ascii="Garamond" w:hAnsi="Garamond"/>
          <w:color w:val="000000" w:themeColor="text1"/>
        </w:rPr>
        <w:t xml:space="preserve"> il Consiglio d’Europa non ha sostenuto la vaccinazione obbligatoria contro il Covid-19. La stessa Organizzazione mondiale della sanità ha, poi, esaminato il critico impatto che l’informazione, diffusa e condivisa attraverso i </w:t>
      </w:r>
      <w:r w:rsidRPr="00B935F1">
        <w:rPr>
          <w:rFonts w:ascii="Garamond" w:hAnsi="Garamond"/>
          <w:i/>
          <w:color w:val="000000" w:themeColor="text1"/>
        </w:rPr>
        <w:t>social media</w:t>
      </w:r>
      <w:r w:rsidRPr="00B935F1">
        <w:rPr>
          <w:rFonts w:ascii="Garamond" w:hAnsi="Garamond"/>
          <w:color w:val="000000" w:themeColor="text1"/>
        </w:rPr>
        <w:t xml:space="preserve"> può avere sui comportamenti collettivi e, in particolar modo, come la non corretta narrazione delle notizie (o talvolta la diffusione di vere e proprie </w:t>
      </w:r>
      <w:proofErr w:type="spellStart"/>
      <w:r w:rsidRPr="00B935F1">
        <w:rPr>
          <w:rFonts w:ascii="Garamond" w:hAnsi="Garamond"/>
          <w:i/>
          <w:color w:val="000000" w:themeColor="text1"/>
        </w:rPr>
        <w:t>misinformation</w:t>
      </w:r>
      <w:proofErr w:type="spellEnd"/>
      <w:r w:rsidRPr="00B935F1">
        <w:rPr>
          <w:rFonts w:ascii="Garamond" w:hAnsi="Garamond"/>
          <w:color w:val="000000" w:themeColor="text1"/>
        </w:rPr>
        <w:t xml:space="preserve">) possa contribuire all’aumento della già diffusa </w:t>
      </w:r>
      <w:r w:rsidRPr="00B935F1">
        <w:rPr>
          <w:rFonts w:ascii="Garamond" w:hAnsi="Garamond"/>
          <w:i/>
          <w:color w:val="000000" w:themeColor="text1"/>
        </w:rPr>
        <w:t xml:space="preserve">vaccine </w:t>
      </w:r>
      <w:proofErr w:type="spellStart"/>
      <w:r w:rsidRPr="00B935F1">
        <w:rPr>
          <w:rFonts w:ascii="Garamond" w:hAnsi="Garamond"/>
          <w:i/>
          <w:color w:val="000000" w:themeColor="text1"/>
        </w:rPr>
        <w:t>hesitancy</w:t>
      </w:r>
      <w:proofErr w:type="spellEnd"/>
      <w:r w:rsidRPr="00B935F1">
        <w:rPr>
          <w:rFonts w:ascii="Garamond" w:hAnsi="Garamond"/>
          <w:color w:val="000000" w:themeColor="text1"/>
        </w:rPr>
        <w:t xml:space="preserve">. Inoltre, la diseguale distribuzione dei vaccini nel mondo (o il c.d. </w:t>
      </w:r>
      <w:r w:rsidRPr="00B935F1">
        <w:rPr>
          <w:rFonts w:ascii="Garamond" w:hAnsi="Garamond"/>
          <w:i/>
          <w:color w:val="000000" w:themeColor="text1"/>
        </w:rPr>
        <w:t xml:space="preserve">vaccine </w:t>
      </w:r>
      <w:proofErr w:type="spellStart"/>
      <w:r w:rsidRPr="00B935F1">
        <w:rPr>
          <w:rFonts w:ascii="Garamond" w:hAnsi="Garamond"/>
          <w:i/>
          <w:color w:val="000000" w:themeColor="text1"/>
        </w:rPr>
        <w:t>nationalism</w:t>
      </w:r>
      <w:proofErr w:type="spellEnd"/>
      <w:r w:rsidRPr="00B935F1">
        <w:rPr>
          <w:rFonts w:ascii="Garamond" w:hAnsi="Garamond"/>
          <w:color w:val="000000" w:themeColor="text1"/>
        </w:rPr>
        <w:t xml:space="preserve">, ossia la condotta con la quale i Paesi più economicamente avanzati tendono ad accaparrarsi nell’immediato numerose scorte di vaccini, lasciando ai Paesi in via di sviluppo soltanto l’esigua rimanenza) ha impedito ai medesimi di spiegare la loro piena efficacia, </w:t>
      </w:r>
      <w:r w:rsidRPr="000D593D">
        <w:rPr>
          <w:rFonts w:ascii="Garamond" w:hAnsi="Garamond" w:cs="Times New Roman (Corpo CS)"/>
          <w:color w:val="000000" w:themeColor="text1"/>
          <w:spacing w:val="-4"/>
        </w:rPr>
        <w:t xml:space="preserve">agevolando lo sviluppo di nuove e sempre più contagiose varianti, con l’effetto di accentuare a livello </w:t>
      </w:r>
      <w:proofErr w:type="spellStart"/>
      <w:r w:rsidRPr="000D593D">
        <w:rPr>
          <w:rFonts w:ascii="Garamond" w:hAnsi="Garamond" w:cs="Times New Roman (Corpo CS)"/>
          <w:color w:val="000000" w:themeColor="text1"/>
          <w:spacing w:val="-4"/>
        </w:rPr>
        <w:t>ultranazionale</w:t>
      </w:r>
      <w:proofErr w:type="spellEnd"/>
      <w:r w:rsidRPr="000D593D">
        <w:rPr>
          <w:rFonts w:ascii="Garamond" w:hAnsi="Garamond" w:cs="Times New Roman (Corpo CS)"/>
          <w:color w:val="000000" w:themeColor="text1"/>
          <w:spacing w:val="-4"/>
        </w:rPr>
        <w:t xml:space="preserve"> la già affermata </w:t>
      </w:r>
      <w:r w:rsidRPr="000D593D">
        <w:rPr>
          <w:rFonts w:ascii="Garamond" w:hAnsi="Garamond" w:cs="Times New Roman (Corpo CS)"/>
          <w:i/>
          <w:color w:val="000000" w:themeColor="text1"/>
          <w:spacing w:val="-4"/>
        </w:rPr>
        <w:t xml:space="preserve">vaccine </w:t>
      </w:r>
      <w:proofErr w:type="spellStart"/>
      <w:r w:rsidRPr="000D593D">
        <w:rPr>
          <w:rFonts w:ascii="Garamond" w:hAnsi="Garamond" w:cs="Times New Roman (Corpo CS)"/>
          <w:i/>
          <w:color w:val="000000" w:themeColor="text1"/>
          <w:spacing w:val="-4"/>
        </w:rPr>
        <w:t>hesitancy</w:t>
      </w:r>
      <w:proofErr w:type="spellEnd"/>
      <w:r w:rsidRPr="000D593D">
        <w:rPr>
          <w:rFonts w:ascii="Garamond" w:hAnsi="Garamond" w:cs="Times New Roman (Corpo CS)"/>
          <w:color w:val="000000" w:themeColor="text1"/>
          <w:spacing w:val="-4"/>
        </w:rPr>
        <w:t xml:space="preserve">. </w:t>
      </w:r>
      <w:r w:rsidRPr="000D593D">
        <w:rPr>
          <w:rFonts w:ascii="Garamond" w:hAnsi="Garamond" w:cs="Times New Roman (Corpo CS)"/>
          <w:i/>
          <w:color w:val="000000" w:themeColor="text1"/>
          <w:spacing w:val="-4"/>
        </w:rPr>
        <w:t>ONU</w:t>
      </w:r>
      <w:r w:rsidRPr="000D593D">
        <w:rPr>
          <w:rFonts w:ascii="Garamond" w:hAnsi="Garamond" w:cs="Times New Roman (Corpo CS)"/>
          <w:color w:val="000000" w:themeColor="text1"/>
          <w:spacing w:val="-4"/>
        </w:rPr>
        <w:t xml:space="preserve">, </w:t>
      </w:r>
      <w:r w:rsidRPr="000D593D">
        <w:rPr>
          <w:rFonts w:ascii="Garamond" w:hAnsi="Garamond" w:cs="Times New Roman (Corpo CS)"/>
          <w:i/>
          <w:iCs/>
          <w:color w:val="000000" w:themeColor="text1"/>
          <w:spacing w:val="-4"/>
        </w:rPr>
        <w:t>Dichiarazione congiunta COVAX: invito all'azione per fornire a COVAX 2 miliardi di dosi nel 2021,</w:t>
      </w:r>
      <w:r w:rsidRPr="000D593D">
        <w:rPr>
          <w:rFonts w:ascii="Garamond" w:hAnsi="Garamond" w:cs="Times New Roman (Corpo CS)"/>
          <w:color w:val="000000" w:themeColor="text1"/>
          <w:spacing w:val="-4"/>
        </w:rPr>
        <w:t xml:space="preserve"> 2021,  </w:t>
      </w:r>
      <w:hyperlink r:id="rId23" w:history="1">
        <w:r w:rsidRPr="000D593D">
          <w:rPr>
            <w:rStyle w:val="Collegamentoipertestuale"/>
            <w:rFonts w:ascii="Garamond" w:hAnsi="Garamond" w:cs="Times New Roman (Corpo CS)"/>
            <w:color w:val="000000" w:themeColor="text1"/>
            <w:spacing w:val="-4"/>
            <w:u w:val="none"/>
          </w:rPr>
          <w:t>https://unric.org/it/dichiarazione-congiunta-covax-appello-urgente-per-fornire-2-miliardi-di-dosi-a-covax-entro-la-fine-del-2021/</w:t>
        </w:r>
      </w:hyperlink>
      <w:r w:rsidRPr="000D593D">
        <w:rPr>
          <w:rFonts w:ascii="Garamond" w:hAnsi="Garamond" w:cs="Times New Roman (Corpo CS)"/>
          <w:color w:val="000000" w:themeColor="text1"/>
          <w:spacing w:val="-4"/>
        </w:rPr>
        <w:t xml:space="preserve">. </w:t>
      </w:r>
      <w:r w:rsidRPr="000D593D">
        <w:rPr>
          <w:rFonts w:ascii="Garamond" w:hAnsi="Garamond" w:cs="Times New Roman (Corpo CS)"/>
          <w:smallCaps/>
          <w:color w:val="000000" w:themeColor="text1"/>
          <w:spacing w:val="-4"/>
        </w:rPr>
        <w:t>P. Salvati</w:t>
      </w:r>
      <w:r w:rsidRPr="000D593D">
        <w:rPr>
          <w:rFonts w:ascii="Garamond" w:hAnsi="Garamond" w:cs="Times New Roman (Corpo CS)"/>
          <w:color w:val="000000" w:themeColor="text1"/>
          <w:spacing w:val="-4"/>
        </w:rPr>
        <w:t xml:space="preserve">, </w:t>
      </w:r>
      <w:proofErr w:type="spellStart"/>
      <w:r w:rsidRPr="000D593D">
        <w:rPr>
          <w:rFonts w:ascii="Garamond" w:hAnsi="Garamond" w:cs="Times New Roman (Corpo CS)"/>
          <w:i/>
          <w:color w:val="000000" w:themeColor="text1"/>
          <w:spacing w:val="-4"/>
        </w:rPr>
        <w:t>Viral</w:t>
      </w:r>
      <w:proofErr w:type="spellEnd"/>
      <w:r w:rsidRPr="000D593D">
        <w:rPr>
          <w:rFonts w:ascii="Garamond" w:hAnsi="Garamond" w:cs="Times New Roman (Corpo CS)"/>
          <w:i/>
          <w:color w:val="000000" w:themeColor="text1"/>
          <w:spacing w:val="-4"/>
        </w:rPr>
        <w:t xml:space="preserve"> </w:t>
      </w:r>
      <w:proofErr w:type="spellStart"/>
      <w:r w:rsidRPr="000D593D">
        <w:rPr>
          <w:rFonts w:ascii="Garamond" w:hAnsi="Garamond" w:cs="Times New Roman (Corpo CS)"/>
          <w:i/>
          <w:color w:val="000000" w:themeColor="text1"/>
          <w:spacing w:val="-4"/>
        </w:rPr>
        <w:t>lies</w:t>
      </w:r>
      <w:proofErr w:type="spellEnd"/>
      <w:r w:rsidRPr="000D593D">
        <w:rPr>
          <w:rFonts w:ascii="Garamond" w:hAnsi="Garamond" w:cs="Times New Roman (Corpo CS)"/>
          <w:i/>
          <w:color w:val="000000" w:themeColor="text1"/>
          <w:spacing w:val="-4"/>
        </w:rPr>
        <w:t xml:space="preserve">: alcune considerazioni in tema di </w:t>
      </w:r>
      <w:proofErr w:type="spellStart"/>
      <w:r w:rsidRPr="000D593D">
        <w:rPr>
          <w:rFonts w:ascii="Garamond" w:hAnsi="Garamond" w:cs="Times New Roman (Corpo CS)"/>
          <w:i/>
          <w:color w:val="000000" w:themeColor="text1"/>
          <w:spacing w:val="-4"/>
        </w:rPr>
        <w:t>misinformation</w:t>
      </w:r>
      <w:proofErr w:type="spellEnd"/>
      <w:r w:rsidRPr="000D593D">
        <w:rPr>
          <w:rFonts w:ascii="Garamond" w:hAnsi="Garamond" w:cs="Times New Roman (Corpo CS)"/>
          <w:i/>
          <w:color w:val="000000" w:themeColor="text1"/>
          <w:spacing w:val="-4"/>
        </w:rPr>
        <w:t xml:space="preserve"> e </w:t>
      </w:r>
      <w:proofErr w:type="spellStart"/>
      <w:r w:rsidRPr="000D593D">
        <w:rPr>
          <w:rFonts w:ascii="Garamond" w:hAnsi="Garamond" w:cs="Times New Roman (Corpo CS)"/>
          <w:i/>
          <w:color w:val="000000" w:themeColor="text1"/>
          <w:spacing w:val="-4"/>
        </w:rPr>
        <w:t>disinformation</w:t>
      </w:r>
      <w:proofErr w:type="spellEnd"/>
      <w:r w:rsidRPr="000D593D">
        <w:rPr>
          <w:rFonts w:ascii="Garamond" w:hAnsi="Garamond" w:cs="Times New Roman (Corpo CS)"/>
          <w:i/>
          <w:color w:val="000000" w:themeColor="text1"/>
          <w:spacing w:val="-4"/>
        </w:rPr>
        <w:t xml:space="preserve"> in tempo di Covid-19 in una prospettiva di diritto internazionale</w:t>
      </w:r>
      <w:r w:rsidRPr="000D593D">
        <w:rPr>
          <w:rFonts w:ascii="Garamond" w:hAnsi="Garamond" w:cs="Times New Roman (Corpo CS)"/>
          <w:color w:val="000000" w:themeColor="text1"/>
          <w:spacing w:val="-4"/>
        </w:rPr>
        <w:t xml:space="preserve"> (a cura di </w:t>
      </w:r>
      <w:r w:rsidRPr="000D593D">
        <w:rPr>
          <w:rFonts w:ascii="Garamond" w:hAnsi="Garamond" w:cs="Times New Roman (Corpo CS)"/>
          <w:smallCaps/>
          <w:color w:val="000000" w:themeColor="text1"/>
          <w:spacing w:val="-4"/>
        </w:rPr>
        <w:t>S. Angioi e S. Cappabianca</w:t>
      </w:r>
      <w:r w:rsidRPr="000D593D">
        <w:rPr>
          <w:rFonts w:ascii="Garamond" w:hAnsi="Garamond" w:cs="Times New Roman (Corpo CS)"/>
          <w:color w:val="000000" w:themeColor="text1"/>
          <w:spacing w:val="-4"/>
        </w:rPr>
        <w:t xml:space="preserve">) in </w:t>
      </w:r>
      <w:r w:rsidRPr="000D593D">
        <w:rPr>
          <w:rFonts w:ascii="Garamond" w:hAnsi="Garamond" w:cs="Times New Roman (Corpo CS)"/>
          <w:i/>
          <w:color w:val="000000" w:themeColor="text1"/>
          <w:spacing w:val="-4"/>
        </w:rPr>
        <w:t>Norme giuridiche e prassi sanitaria. Diritto internazionale e diritto interno alla prova del Covid-19</w:t>
      </w:r>
      <w:r w:rsidRPr="000D593D">
        <w:rPr>
          <w:rFonts w:ascii="Garamond" w:hAnsi="Garamond" w:cs="Times New Roman (Corpo CS)"/>
          <w:color w:val="000000" w:themeColor="text1"/>
          <w:spacing w:val="-4"/>
        </w:rPr>
        <w:t xml:space="preserve">. </w:t>
      </w:r>
      <w:r w:rsidRPr="000D593D">
        <w:rPr>
          <w:rFonts w:ascii="Garamond" w:hAnsi="Garamond" w:cs="Times New Roman (Corpo CS)"/>
          <w:i/>
          <w:color w:val="000000" w:themeColor="text1"/>
          <w:spacing w:val="-4"/>
        </w:rPr>
        <w:t>Temi scelti</w:t>
      </w:r>
      <w:r w:rsidRPr="000D593D">
        <w:rPr>
          <w:rFonts w:ascii="Garamond" w:hAnsi="Garamond" w:cs="Times New Roman (Corpo CS)"/>
          <w:color w:val="000000" w:themeColor="text1"/>
          <w:spacing w:val="-4"/>
        </w:rPr>
        <w:t xml:space="preserve">, Napoli, 2021. Tale dottrina evidenzia, alla luce dell’art. 12 del PIDESC e della perdurante pandemia, l’obbligo degli Stati membri di </w:t>
      </w:r>
      <w:r w:rsidRPr="000D593D">
        <w:rPr>
          <w:rFonts w:ascii="Garamond" w:hAnsi="Garamond" w:cs="Times New Roman (Corpo CS)"/>
          <w:i/>
          <w:color w:val="000000" w:themeColor="text1"/>
          <w:spacing w:val="-4"/>
        </w:rPr>
        <w:t>«</w:t>
      </w:r>
      <w:proofErr w:type="spellStart"/>
      <w:r w:rsidRPr="000D593D">
        <w:rPr>
          <w:rFonts w:ascii="Garamond" w:hAnsi="Garamond" w:cs="Times New Roman (Corpo CS)"/>
          <w:i/>
          <w:color w:val="000000" w:themeColor="text1"/>
          <w:spacing w:val="-4"/>
        </w:rPr>
        <w:t>provide</w:t>
      </w:r>
      <w:proofErr w:type="spellEnd"/>
      <w:r w:rsidRPr="000D593D">
        <w:rPr>
          <w:rFonts w:ascii="Garamond" w:hAnsi="Garamond" w:cs="Times New Roman (Corpo CS)"/>
          <w:i/>
          <w:color w:val="000000" w:themeColor="text1"/>
          <w:spacing w:val="-4"/>
        </w:rPr>
        <w:t xml:space="preserve"> (…) access to information </w:t>
      </w:r>
      <w:proofErr w:type="spellStart"/>
      <w:r w:rsidRPr="000D593D">
        <w:rPr>
          <w:rFonts w:ascii="Garamond" w:hAnsi="Garamond" w:cs="Times New Roman (Corpo CS)"/>
          <w:i/>
          <w:color w:val="000000" w:themeColor="text1"/>
          <w:spacing w:val="-4"/>
        </w:rPr>
        <w:t>concerning</w:t>
      </w:r>
      <w:proofErr w:type="spellEnd"/>
      <w:r w:rsidRPr="000D593D">
        <w:rPr>
          <w:rFonts w:ascii="Garamond" w:hAnsi="Garamond" w:cs="Times New Roman (Corpo CS)"/>
          <w:i/>
          <w:color w:val="000000" w:themeColor="text1"/>
          <w:spacing w:val="-4"/>
        </w:rPr>
        <w:t xml:space="preserve"> the </w:t>
      </w:r>
      <w:proofErr w:type="spellStart"/>
      <w:r w:rsidRPr="000D593D">
        <w:rPr>
          <w:rFonts w:ascii="Garamond" w:hAnsi="Garamond" w:cs="Times New Roman (Corpo CS)"/>
          <w:i/>
          <w:color w:val="000000" w:themeColor="text1"/>
          <w:spacing w:val="-4"/>
        </w:rPr>
        <w:t>main</w:t>
      </w:r>
      <w:proofErr w:type="spellEnd"/>
      <w:r w:rsidRPr="000D593D">
        <w:rPr>
          <w:rFonts w:ascii="Garamond" w:hAnsi="Garamond" w:cs="Times New Roman (Corpo CS)"/>
          <w:i/>
          <w:color w:val="000000" w:themeColor="text1"/>
          <w:spacing w:val="-4"/>
        </w:rPr>
        <w:t xml:space="preserve"> health </w:t>
      </w:r>
      <w:proofErr w:type="spellStart"/>
      <w:r w:rsidRPr="000D593D">
        <w:rPr>
          <w:rFonts w:ascii="Garamond" w:hAnsi="Garamond" w:cs="Times New Roman (Corpo CS)"/>
          <w:i/>
          <w:color w:val="000000" w:themeColor="text1"/>
          <w:spacing w:val="-4"/>
        </w:rPr>
        <w:t>problems</w:t>
      </w:r>
      <w:proofErr w:type="spellEnd"/>
      <w:r w:rsidRPr="000D593D">
        <w:rPr>
          <w:rFonts w:ascii="Garamond" w:hAnsi="Garamond" w:cs="Times New Roman (Corpo CS)"/>
          <w:i/>
          <w:color w:val="000000" w:themeColor="text1"/>
          <w:spacing w:val="-4"/>
        </w:rPr>
        <w:t xml:space="preserve"> in the community, </w:t>
      </w:r>
      <w:proofErr w:type="spellStart"/>
      <w:r w:rsidRPr="000D593D">
        <w:rPr>
          <w:rFonts w:ascii="Garamond" w:hAnsi="Garamond" w:cs="Times New Roman (Corpo CS)"/>
          <w:i/>
          <w:color w:val="000000" w:themeColor="text1"/>
          <w:spacing w:val="-4"/>
        </w:rPr>
        <w:t>including</w:t>
      </w:r>
      <w:proofErr w:type="spellEnd"/>
      <w:r w:rsidRPr="000D593D">
        <w:rPr>
          <w:rFonts w:ascii="Garamond" w:hAnsi="Garamond" w:cs="Times New Roman (Corpo CS)"/>
          <w:i/>
          <w:color w:val="000000" w:themeColor="text1"/>
          <w:spacing w:val="-4"/>
        </w:rPr>
        <w:t xml:space="preserve"> </w:t>
      </w:r>
      <w:proofErr w:type="spellStart"/>
      <w:r w:rsidRPr="000D593D">
        <w:rPr>
          <w:rFonts w:ascii="Garamond" w:hAnsi="Garamond" w:cs="Times New Roman (Corpo CS)"/>
          <w:i/>
          <w:color w:val="000000" w:themeColor="text1"/>
          <w:spacing w:val="-4"/>
        </w:rPr>
        <w:t>methods</w:t>
      </w:r>
      <w:proofErr w:type="spellEnd"/>
      <w:r w:rsidRPr="000D593D">
        <w:rPr>
          <w:rFonts w:ascii="Garamond" w:hAnsi="Garamond" w:cs="Times New Roman (Corpo CS)"/>
          <w:i/>
          <w:color w:val="000000" w:themeColor="text1"/>
          <w:spacing w:val="-4"/>
        </w:rPr>
        <w:t xml:space="preserve"> of </w:t>
      </w:r>
      <w:proofErr w:type="spellStart"/>
      <w:r w:rsidRPr="000D593D">
        <w:rPr>
          <w:rFonts w:ascii="Garamond" w:hAnsi="Garamond" w:cs="Times New Roman (Corpo CS)"/>
          <w:i/>
          <w:color w:val="000000" w:themeColor="text1"/>
          <w:spacing w:val="-4"/>
        </w:rPr>
        <w:t>preventing</w:t>
      </w:r>
      <w:proofErr w:type="spellEnd"/>
      <w:r w:rsidRPr="000D593D">
        <w:rPr>
          <w:rFonts w:ascii="Garamond" w:hAnsi="Garamond" w:cs="Times New Roman (Corpo CS)"/>
          <w:i/>
          <w:color w:val="000000" w:themeColor="text1"/>
          <w:spacing w:val="-4"/>
        </w:rPr>
        <w:t xml:space="preserve"> and </w:t>
      </w:r>
      <w:proofErr w:type="spellStart"/>
      <w:r w:rsidRPr="000D593D">
        <w:rPr>
          <w:rFonts w:ascii="Garamond" w:hAnsi="Garamond" w:cs="Times New Roman (Corpo CS)"/>
          <w:i/>
          <w:color w:val="000000" w:themeColor="text1"/>
          <w:spacing w:val="-4"/>
        </w:rPr>
        <w:t>controlling</w:t>
      </w:r>
      <w:proofErr w:type="spellEnd"/>
      <w:r w:rsidRPr="000D593D">
        <w:rPr>
          <w:rFonts w:ascii="Garamond" w:hAnsi="Garamond" w:cs="Times New Roman (Corpo CS)"/>
          <w:i/>
          <w:color w:val="000000" w:themeColor="text1"/>
          <w:spacing w:val="-4"/>
        </w:rPr>
        <w:t xml:space="preserve"> </w:t>
      </w:r>
      <w:proofErr w:type="spellStart"/>
      <w:r w:rsidRPr="000D593D">
        <w:rPr>
          <w:rFonts w:ascii="Garamond" w:hAnsi="Garamond" w:cs="Times New Roman (Corpo CS)"/>
          <w:i/>
          <w:color w:val="000000" w:themeColor="text1"/>
          <w:spacing w:val="-4"/>
        </w:rPr>
        <w:t>them</w:t>
      </w:r>
      <w:proofErr w:type="spellEnd"/>
      <w:r w:rsidRPr="000D593D">
        <w:rPr>
          <w:rFonts w:ascii="Garamond" w:hAnsi="Garamond" w:cs="Times New Roman (Corpo CS)"/>
          <w:color w:val="000000" w:themeColor="text1"/>
          <w:spacing w:val="-4"/>
        </w:rPr>
        <w:t xml:space="preserve">», che si pone in rapporto di strumentalità rispetto al dovere di proteggere la salute collettiva. </w:t>
      </w:r>
      <w:r w:rsidRPr="000D593D">
        <w:rPr>
          <w:rFonts w:ascii="Garamond" w:hAnsi="Garamond" w:cs="Times New Roman (Corpo CS)"/>
          <w:i/>
          <w:color w:val="000000" w:themeColor="text1"/>
          <w:spacing w:val="-4"/>
          <w:lang w:val="en-US"/>
        </w:rPr>
        <w:t>CESCR</w:t>
      </w:r>
      <w:r w:rsidRPr="000D593D">
        <w:rPr>
          <w:rFonts w:ascii="Garamond" w:hAnsi="Garamond" w:cs="Times New Roman (Corpo CS)"/>
          <w:color w:val="000000" w:themeColor="text1"/>
          <w:spacing w:val="-4"/>
          <w:lang w:val="en-US"/>
        </w:rPr>
        <w:t xml:space="preserve">, </w:t>
      </w:r>
      <w:r w:rsidRPr="000D593D">
        <w:rPr>
          <w:rFonts w:ascii="Garamond" w:hAnsi="Garamond" w:cs="Times New Roman (Corpo CS)"/>
          <w:i/>
          <w:color w:val="000000" w:themeColor="text1"/>
          <w:spacing w:val="-4"/>
          <w:lang w:val="en-US"/>
        </w:rPr>
        <w:t xml:space="preserve">General Comment No. 14: The Right to the Highest Attainable Standard of Health </w:t>
      </w:r>
      <w:r w:rsidRPr="000D593D">
        <w:rPr>
          <w:rFonts w:ascii="Garamond" w:hAnsi="Garamond" w:cs="Times New Roman (Corpo CS)"/>
          <w:color w:val="000000" w:themeColor="text1"/>
          <w:spacing w:val="-4"/>
          <w:lang w:val="en-US"/>
        </w:rPr>
        <w:t xml:space="preserve">(Art. 12). </w:t>
      </w:r>
      <w:r w:rsidRPr="000D593D">
        <w:rPr>
          <w:rFonts w:ascii="Garamond" w:hAnsi="Garamond" w:cs="Times New Roman (Corpo CS)"/>
          <w:smallCaps/>
          <w:color w:val="000000" w:themeColor="text1"/>
          <w:spacing w:val="-4"/>
          <w:lang w:val="en-US"/>
        </w:rPr>
        <w:t xml:space="preserve">M. De </w:t>
      </w:r>
      <w:proofErr w:type="spellStart"/>
      <w:r w:rsidRPr="000D593D">
        <w:rPr>
          <w:rFonts w:ascii="Garamond" w:hAnsi="Garamond" w:cs="Times New Roman (Corpo CS)"/>
          <w:smallCaps/>
          <w:color w:val="000000" w:themeColor="text1"/>
          <w:spacing w:val="-4"/>
          <w:lang w:val="en-US"/>
        </w:rPr>
        <w:t>Arcos</w:t>
      </w:r>
      <w:proofErr w:type="spellEnd"/>
      <w:r w:rsidRPr="000D593D">
        <w:rPr>
          <w:rFonts w:ascii="Garamond" w:hAnsi="Garamond" w:cs="Times New Roman (Corpo CS)"/>
          <w:smallCaps/>
          <w:color w:val="000000" w:themeColor="text1"/>
          <w:spacing w:val="-4"/>
          <w:lang w:val="en-US"/>
        </w:rPr>
        <w:t xml:space="preserve"> </w:t>
      </w:r>
      <w:proofErr w:type="spellStart"/>
      <w:r w:rsidRPr="000D593D">
        <w:rPr>
          <w:rFonts w:ascii="Garamond" w:hAnsi="Garamond" w:cs="Times New Roman (Corpo CS)"/>
          <w:smallCaps/>
          <w:color w:val="000000" w:themeColor="text1"/>
          <w:spacing w:val="-4"/>
          <w:lang w:val="en-US"/>
        </w:rPr>
        <w:t>Tejerizo</w:t>
      </w:r>
      <w:proofErr w:type="spellEnd"/>
      <w:r w:rsidRPr="000D593D">
        <w:rPr>
          <w:rFonts w:ascii="Garamond" w:hAnsi="Garamond" w:cs="Times New Roman (Corpo CS)"/>
          <w:color w:val="000000" w:themeColor="text1"/>
          <w:spacing w:val="-4"/>
          <w:lang w:val="en-US"/>
        </w:rPr>
        <w:t xml:space="preserve">, </w:t>
      </w:r>
      <w:r w:rsidRPr="000D593D">
        <w:rPr>
          <w:rFonts w:ascii="Garamond" w:hAnsi="Garamond" w:cs="Times New Roman (Corpo CS)"/>
          <w:i/>
          <w:color w:val="000000" w:themeColor="text1"/>
          <w:spacing w:val="-4"/>
          <w:lang w:val="en-US"/>
        </w:rPr>
        <w:t>Wash your hands often… and your newsfeed even more: disinformation in Covid-19 times,</w:t>
      </w:r>
      <w:r w:rsidRPr="000D593D">
        <w:rPr>
          <w:rFonts w:ascii="Garamond" w:hAnsi="Garamond" w:cs="Times New Roman (Corpo CS)"/>
          <w:color w:val="000000" w:themeColor="text1"/>
          <w:spacing w:val="-4"/>
          <w:lang w:val="en-US"/>
        </w:rPr>
        <w:t xml:space="preserve"> in </w:t>
      </w:r>
      <w:proofErr w:type="spellStart"/>
      <w:r w:rsidRPr="000D593D">
        <w:rPr>
          <w:rFonts w:ascii="Garamond" w:hAnsi="Garamond" w:cs="Times New Roman (Corpo CS)"/>
          <w:i/>
          <w:color w:val="000000" w:themeColor="text1"/>
          <w:spacing w:val="-4"/>
          <w:lang w:val="en-US"/>
        </w:rPr>
        <w:t>Leid</w:t>
      </w:r>
      <w:proofErr w:type="spellEnd"/>
      <w:r w:rsidRPr="000D593D">
        <w:rPr>
          <w:rFonts w:ascii="Garamond" w:hAnsi="Garamond" w:cs="Times New Roman (Corpo CS)"/>
          <w:i/>
          <w:color w:val="000000" w:themeColor="text1"/>
          <w:spacing w:val="-4"/>
          <w:lang w:val="en-US"/>
        </w:rPr>
        <w:t xml:space="preserve"> </w:t>
      </w:r>
      <w:proofErr w:type="spellStart"/>
      <w:r w:rsidRPr="000D593D">
        <w:rPr>
          <w:rFonts w:ascii="Garamond" w:hAnsi="Garamond" w:cs="Times New Roman (Corpo CS)"/>
          <w:i/>
          <w:color w:val="000000" w:themeColor="text1"/>
          <w:spacing w:val="-4"/>
          <w:lang w:val="en-US"/>
        </w:rPr>
        <w:t>journ</w:t>
      </w:r>
      <w:proofErr w:type="spellEnd"/>
      <w:r w:rsidRPr="000D593D">
        <w:rPr>
          <w:rFonts w:ascii="Garamond" w:hAnsi="Garamond" w:cs="Times New Roman (Corpo CS)"/>
          <w:i/>
          <w:color w:val="000000" w:themeColor="text1"/>
          <w:spacing w:val="-4"/>
          <w:lang w:val="en-US"/>
        </w:rPr>
        <w:t xml:space="preserve">. </w:t>
      </w:r>
      <w:r w:rsidRPr="000D593D">
        <w:rPr>
          <w:rFonts w:ascii="Garamond" w:hAnsi="Garamond" w:cs="Times New Roman (Corpo CS)"/>
          <w:i/>
          <w:color w:val="000000" w:themeColor="text1"/>
          <w:spacing w:val="-4"/>
        </w:rPr>
        <w:t>Int. Law</w:t>
      </w:r>
      <w:r w:rsidRPr="000D593D">
        <w:rPr>
          <w:rFonts w:ascii="Garamond" w:hAnsi="Garamond" w:cs="Times New Roman (Corpo CS)"/>
          <w:color w:val="000000" w:themeColor="text1"/>
          <w:spacing w:val="-4"/>
        </w:rPr>
        <w:t xml:space="preserve">, 2020. </w:t>
      </w:r>
    </w:p>
    <w:p w14:paraId="5DFFC950" w14:textId="277342D0" w:rsidR="006B1761" w:rsidRPr="000D593D" w:rsidRDefault="006B1761" w:rsidP="00B67169">
      <w:pPr>
        <w:pStyle w:val="Testonotaapidipagina"/>
        <w:jc w:val="both"/>
        <w:rPr>
          <w:rFonts w:ascii="Garamond" w:hAnsi="Garamond" w:cs="Times New Roman (Corpo CS)"/>
          <w:color w:val="000000" w:themeColor="text1"/>
          <w:spacing w:val="-4"/>
        </w:rPr>
      </w:pPr>
      <w:r w:rsidRPr="000D593D">
        <w:rPr>
          <w:rFonts w:ascii="Garamond" w:hAnsi="Garamond" w:cs="Times New Roman (Corpo CS)"/>
          <w:color w:val="000000" w:themeColor="text1"/>
          <w:spacing w:val="-4"/>
        </w:rPr>
        <w:t xml:space="preserve">L’irragionevole distribuzione dei vaccini </w:t>
      </w:r>
      <w:proofErr w:type="spellStart"/>
      <w:r w:rsidRPr="000D593D">
        <w:rPr>
          <w:rFonts w:ascii="Garamond" w:hAnsi="Garamond" w:cs="Times New Roman (Corpo CS)"/>
          <w:color w:val="000000" w:themeColor="text1"/>
          <w:spacing w:val="-4"/>
        </w:rPr>
        <w:t>anticovid</w:t>
      </w:r>
      <w:proofErr w:type="spellEnd"/>
      <w:r w:rsidRPr="000D593D">
        <w:rPr>
          <w:rFonts w:ascii="Garamond" w:hAnsi="Garamond" w:cs="Times New Roman (Corpo CS)"/>
          <w:color w:val="000000" w:themeColor="text1"/>
          <w:spacing w:val="-4"/>
        </w:rPr>
        <w:t xml:space="preserve"> nel mondo ha anche evidenziato, secondo alcuni, l’irrealizzabilità della teoria economica smithiana della c.d. mano invisibile, (secondo la quale, i privati pur agendo con l’obiettivo egoistico di massimizzare i profitti in un regime concorrenziale, riescono a realizzare, proprio attraverso l’ausilio di una “mano invisibile” l’interesse comune; abbassando ad esempio sempre più i prezzi di un determinato prodotto per accaparrarsi più clienti della concorrenza, che a sua volta venderà il prodotto ad un prezzo ulteriormente più basso, contribuendo così all’aumento del benessere sociale della collettività), con il risultato della prevalenza degli interessi particolari sul bene comune. </w:t>
      </w:r>
      <w:r w:rsidRPr="000D593D">
        <w:rPr>
          <w:rFonts w:ascii="Garamond" w:hAnsi="Garamond" w:cs="Times New Roman (Corpo CS)"/>
          <w:smallCaps/>
          <w:color w:val="000000" w:themeColor="text1"/>
          <w:spacing w:val="-4"/>
        </w:rPr>
        <w:t xml:space="preserve">G. </w:t>
      </w:r>
      <w:proofErr w:type="spellStart"/>
      <w:r w:rsidRPr="000D593D">
        <w:rPr>
          <w:rFonts w:ascii="Garamond" w:hAnsi="Garamond" w:cs="Times New Roman (Corpo CS)"/>
          <w:smallCaps/>
          <w:color w:val="000000" w:themeColor="text1"/>
          <w:spacing w:val="-4"/>
        </w:rPr>
        <w:t>Savagnone</w:t>
      </w:r>
      <w:proofErr w:type="spellEnd"/>
      <w:r w:rsidRPr="000D593D">
        <w:rPr>
          <w:rFonts w:ascii="Garamond" w:hAnsi="Garamond" w:cs="Times New Roman (Corpo CS)"/>
          <w:i/>
          <w:color w:val="000000" w:themeColor="text1"/>
          <w:spacing w:val="-4"/>
        </w:rPr>
        <w:t>, Sui vaccini una distribuzione «enormemente ineguale e ingiusta</w:t>
      </w:r>
      <w:r w:rsidRPr="000D593D">
        <w:rPr>
          <w:rFonts w:ascii="Garamond" w:hAnsi="Garamond" w:cs="Times New Roman (Corpo CS)"/>
          <w:color w:val="000000" w:themeColor="text1"/>
          <w:spacing w:val="-4"/>
        </w:rPr>
        <w:t xml:space="preserve">, in </w:t>
      </w:r>
      <w:r w:rsidRPr="000D593D">
        <w:rPr>
          <w:rFonts w:ascii="Garamond" w:hAnsi="Garamond" w:cs="Times New Roman (Corpo CS)"/>
          <w:i/>
          <w:color w:val="000000" w:themeColor="text1"/>
          <w:spacing w:val="-4"/>
        </w:rPr>
        <w:t>Giustizia insieme</w:t>
      </w:r>
      <w:r w:rsidRPr="000D593D">
        <w:rPr>
          <w:rFonts w:ascii="Garamond" w:hAnsi="Garamond" w:cs="Times New Roman (Corpo CS)"/>
          <w:color w:val="000000" w:themeColor="text1"/>
          <w:spacing w:val="-4"/>
        </w:rPr>
        <w:t>, 9 marzo 2021.</w:t>
      </w:r>
    </w:p>
    <w:p w14:paraId="38DAF2D5" w14:textId="31913239"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Fonts w:ascii="Garamond" w:hAnsi="Garamond" w:cs="Times New Roman (Corpo CS)"/>
          <w:i/>
          <w:iCs/>
          <w:color w:val="000000" w:themeColor="text1"/>
          <w:spacing w:val="-4"/>
        </w:rPr>
        <w:t>OMS: La ripartizione iniqua dei vaccini COVID-19 diventa “più grottesca ogni giorno”</w:t>
      </w:r>
      <w:r w:rsidRPr="000D593D">
        <w:rPr>
          <w:rFonts w:ascii="Garamond" w:hAnsi="Garamond" w:cs="Times New Roman (Corpo CS)"/>
          <w:color w:val="000000" w:themeColor="text1"/>
          <w:spacing w:val="-4"/>
        </w:rPr>
        <w:t xml:space="preserve">, 2021, </w:t>
      </w:r>
      <w:hyperlink r:id="rId24" w:history="1">
        <w:r w:rsidRPr="000D593D">
          <w:rPr>
            <w:rStyle w:val="Collegamentoipertestuale"/>
            <w:rFonts w:ascii="Garamond" w:hAnsi="Garamond" w:cs="Times New Roman (Corpo CS)"/>
            <w:color w:val="000000" w:themeColor="text1"/>
            <w:spacing w:val="-4"/>
            <w:u w:val="none"/>
          </w:rPr>
          <w:t>https://unric.org/it/oms-la-ripartizione-iniqua-dei-vaccini-covid-19-diventa-piu-grottesca-ogni-giorno/</w:t>
        </w:r>
      </w:hyperlink>
      <w:r w:rsidRPr="000D593D">
        <w:rPr>
          <w:rFonts w:ascii="Garamond" w:hAnsi="Garamond" w:cs="Times New Roman (Corpo CS)"/>
          <w:color w:val="000000" w:themeColor="text1"/>
          <w:spacing w:val="-4"/>
        </w:rPr>
        <w:t xml:space="preserve">. </w:t>
      </w:r>
      <w:r w:rsidRPr="000D593D">
        <w:rPr>
          <w:rFonts w:ascii="Garamond" w:hAnsi="Garamond" w:cs="Times New Roman (Corpo CS)"/>
          <w:i/>
          <w:color w:val="000000" w:themeColor="text1"/>
          <w:spacing w:val="-4"/>
          <w:lang w:val="en-US"/>
        </w:rPr>
        <w:t>WHO Director-General's opening remarks at the media briefing on COVID-19 - 8 September 2021</w:t>
      </w:r>
      <w:r w:rsidRPr="000D593D">
        <w:rPr>
          <w:rFonts w:ascii="Garamond" w:hAnsi="Garamond" w:cs="Times New Roman (Corpo CS)"/>
          <w:color w:val="000000" w:themeColor="text1"/>
          <w:spacing w:val="-4"/>
          <w:lang w:val="en-US"/>
        </w:rPr>
        <w:t xml:space="preserve">. </w:t>
      </w:r>
      <w:r w:rsidRPr="000D593D">
        <w:rPr>
          <w:rFonts w:ascii="Garamond" w:hAnsi="Garamond" w:cs="Times New Roman (Corpo CS)"/>
          <w:color w:val="000000" w:themeColor="text1"/>
          <w:spacing w:val="-4"/>
        </w:rPr>
        <w:t>Atto in cui il Direttore generale dell’OMS, evidenziava quanto sia importante rilanciare l’iniziativa COVAX, (il cui motto è sintetizzato nell’espressione «</w:t>
      </w:r>
      <w:r w:rsidRPr="000D593D">
        <w:rPr>
          <w:rFonts w:ascii="Garamond" w:hAnsi="Garamond" w:cs="Times New Roman (Corpo CS)"/>
          <w:i/>
          <w:color w:val="000000" w:themeColor="text1"/>
          <w:spacing w:val="-4"/>
        </w:rPr>
        <w:t xml:space="preserve">no one </w:t>
      </w:r>
      <w:proofErr w:type="spellStart"/>
      <w:r w:rsidRPr="000D593D">
        <w:rPr>
          <w:rFonts w:ascii="Garamond" w:hAnsi="Garamond" w:cs="Times New Roman (Corpo CS)"/>
          <w:i/>
          <w:color w:val="000000" w:themeColor="text1"/>
          <w:spacing w:val="-4"/>
        </w:rPr>
        <w:t>is</w:t>
      </w:r>
      <w:proofErr w:type="spellEnd"/>
      <w:r w:rsidRPr="000D593D">
        <w:rPr>
          <w:rFonts w:ascii="Garamond" w:hAnsi="Garamond" w:cs="Times New Roman (Corpo CS)"/>
          <w:i/>
          <w:color w:val="000000" w:themeColor="text1"/>
          <w:spacing w:val="-4"/>
        </w:rPr>
        <w:t xml:space="preserve"> safe </w:t>
      </w:r>
      <w:proofErr w:type="spellStart"/>
      <w:r w:rsidRPr="000D593D">
        <w:rPr>
          <w:rFonts w:ascii="Garamond" w:hAnsi="Garamond" w:cs="Times New Roman (Corpo CS)"/>
          <w:i/>
          <w:color w:val="000000" w:themeColor="text1"/>
          <w:spacing w:val="-4"/>
        </w:rPr>
        <w:t>until</w:t>
      </w:r>
      <w:proofErr w:type="spellEnd"/>
      <w:r w:rsidRPr="000D593D">
        <w:rPr>
          <w:rFonts w:ascii="Garamond" w:hAnsi="Garamond" w:cs="Times New Roman (Corpo CS)"/>
          <w:i/>
          <w:color w:val="000000" w:themeColor="text1"/>
          <w:spacing w:val="-4"/>
        </w:rPr>
        <w:t xml:space="preserve"> </w:t>
      </w:r>
      <w:proofErr w:type="spellStart"/>
      <w:r w:rsidRPr="000D593D">
        <w:rPr>
          <w:rFonts w:ascii="Garamond" w:hAnsi="Garamond" w:cs="Times New Roman (Corpo CS)"/>
          <w:i/>
          <w:color w:val="000000" w:themeColor="text1"/>
          <w:spacing w:val="-4"/>
        </w:rPr>
        <w:t>everyone</w:t>
      </w:r>
      <w:proofErr w:type="spellEnd"/>
      <w:r w:rsidRPr="000D593D">
        <w:rPr>
          <w:rFonts w:ascii="Garamond" w:hAnsi="Garamond" w:cs="Times New Roman (Corpo CS)"/>
          <w:i/>
          <w:color w:val="000000" w:themeColor="text1"/>
          <w:spacing w:val="-4"/>
        </w:rPr>
        <w:t xml:space="preserve"> </w:t>
      </w:r>
      <w:proofErr w:type="spellStart"/>
      <w:r w:rsidRPr="000D593D">
        <w:rPr>
          <w:rFonts w:ascii="Garamond" w:hAnsi="Garamond" w:cs="Times New Roman (Corpo CS)"/>
          <w:i/>
          <w:color w:val="000000" w:themeColor="text1"/>
          <w:spacing w:val="-4"/>
        </w:rPr>
        <w:t>is</w:t>
      </w:r>
      <w:proofErr w:type="spellEnd"/>
      <w:r w:rsidRPr="000D593D">
        <w:rPr>
          <w:rFonts w:ascii="Garamond" w:hAnsi="Garamond" w:cs="Times New Roman (Corpo CS)"/>
          <w:i/>
          <w:color w:val="000000" w:themeColor="text1"/>
          <w:spacing w:val="-4"/>
        </w:rPr>
        <w:t xml:space="preserve"> safe</w:t>
      </w:r>
      <w:r w:rsidRPr="000D593D">
        <w:rPr>
          <w:rFonts w:ascii="Garamond" w:hAnsi="Garamond" w:cs="Times New Roman (Corpo CS)"/>
          <w:color w:val="000000" w:themeColor="text1"/>
          <w:spacing w:val="-4"/>
        </w:rPr>
        <w:t>») attraverso la quale i membri partecipanti (tra cui non solo gli Stati membri e l’OMS, ma anche associazioni private filantropiche ed altri partner internazionali, come, ad esempio: GAVI alliance, CEPI, UNICEF) si impegnano ad acquistare una certa quantità di vaccini a prezzo agevolato e a renderli disponibili ai Paesi in via di sviluppo per colmare il divario vaccinale con i paesi a reddito più elevato</w:t>
      </w:r>
      <w:r w:rsidRPr="000D593D">
        <w:rPr>
          <w:rFonts w:ascii="Garamond" w:hAnsi="Garamond" w:cs="Times New Roman (Corpo CS)"/>
          <w:i/>
          <w:color w:val="000000" w:themeColor="text1"/>
          <w:spacing w:val="-4"/>
        </w:rPr>
        <w:t xml:space="preserve">. </w:t>
      </w:r>
      <w:r w:rsidRPr="000D593D">
        <w:rPr>
          <w:rFonts w:ascii="Garamond" w:hAnsi="Garamond" w:cs="Times New Roman (Corpo CS)"/>
          <w:i/>
          <w:color w:val="000000" w:themeColor="text1"/>
          <w:spacing w:val="-4"/>
          <w:lang w:val="en-US"/>
        </w:rPr>
        <w:t>WHO, COVAX, Working for global equitable access to COVID-19 vaccines</w:t>
      </w:r>
      <w:r w:rsidRPr="000D593D">
        <w:rPr>
          <w:rFonts w:ascii="Garamond" w:hAnsi="Garamond" w:cs="Times New Roman (Corpo CS)"/>
          <w:color w:val="000000" w:themeColor="text1"/>
          <w:spacing w:val="-4"/>
          <w:lang w:val="en-US"/>
        </w:rPr>
        <w:t xml:space="preserve">, </w:t>
      </w:r>
      <w:hyperlink r:id="rId25" w:history="1">
        <w:r w:rsidRPr="000D593D">
          <w:rPr>
            <w:rStyle w:val="Collegamentoipertestuale"/>
            <w:rFonts w:ascii="Garamond" w:hAnsi="Garamond" w:cs="Times New Roman (Corpo CS)"/>
            <w:color w:val="000000" w:themeColor="text1"/>
            <w:spacing w:val="-4"/>
            <w:u w:val="none"/>
            <w:lang w:val="en-US"/>
          </w:rPr>
          <w:t>https://www.who.int/initiatives/act-accelerator/covax</w:t>
        </w:r>
      </w:hyperlink>
      <w:r w:rsidRPr="000D593D">
        <w:rPr>
          <w:rFonts w:ascii="Garamond" w:hAnsi="Garamond" w:cs="Times New Roman (Corpo CS)"/>
          <w:color w:val="000000" w:themeColor="text1"/>
          <w:spacing w:val="-4"/>
          <w:lang w:val="en-US"/>
        </w:rPr>
        <w:t xml:space="preserve">. </w:t>
      </w:r>
    </w:p>
    <w:p w14:paraId="42A2A27B" w14:textId="2A65F4DF"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Fonts w:ascii="Garamond" w:hAnsi="Garamond" w:cs="Times New Roman (Corpo CS)"/>
          <w:color w:val="000000" w:themeColor="text1"/>
          <w:spacing w:val="-4"/>
          <w:lang w:val="en-US"/>
        </w:rPr>
        <w:t xml:space="preserve">Secondo </w:t>
      </w:r>
      <w:proofErr w:type="spellStart"/>
      <w:r w:rsidRPr="000D593D">
        <w:rPr>
          <w:rFonts w:ascii="Garamond" w:hAnsi="Garamond" w:cs="Times New Roman (Corpo CS)"/>
          <w:color w:val="000000" w:themeColor="text1"/>
          <w:spacing w:val="-4"/>
          <w:lang w:val="en-US"/>
        </w:rPr>
        <w:t>alcune</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statistiche</w:t>
      </w:r>
      <w:proofErr w:type="spellEnd"/>
      <w:r w:rsidRPr="000D593D">
        <w:rPr>
          <w:rFonts w:ascii="Garamond" w:hAnsi="Garamond" w:cs="Times New Roman (Corpo CS)"/>
          <w:color w:val="000000" w:themeColor="text1"/>
          <w:spacing w:val="-4"/>
          <w:lang w:val="en-US"/>
        </w:rPr>
        <w:t xml:space="preserve"> proprio le </w:t>
      </w:r>
      <w:proofErr w:type="spellStart"/>
      <w:r w:rsidRPr="000D593D">
        <w:rPr>
          <w:rFonts w:ascii="Garamond" w:hAnsi="Garamond" w:cs="Times New Roman (Corpo CS)"/>
          <w:color w:val="000000" w:themeColor="text1"/>
          <w:spacing w:val="-4"/>
          <w:lang w:val="en-US"/>
        </w:rPr>
        <w:t>popolazioni</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europee</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sarebbero</w:t>
      </w:r>
      <w:proofErr w:type="spellEnd"/>
      <w:r w:rsidRPr="000D593D">
        <w:rPr>
          <w:rFonts w:ascii="Garamond" w:hAnsi="Garamond" w:cs="Times New Roman (Corpo CS)"/>
          <w:color w:val="000000" w:themeColor="text1"/>
          <w:spacing w:val="-4"/>
          <w:lang w:val="en-US"/>
        </w:rPr>
        <w:t xml:space="preserve"> state «</w:t>
      </w:r>
      <w:proofErr w:type="spellStart"/>
      <w:r w:rsidRPr="000D593D">
        <w:rPr>
          <w:rFonts w:ascii="Garamond" w:hAnsi="Garamond" w:cs="Times New Roman (Corpo CS)"/>
          <w:color w:val="000000" w:themeColor="text1"/>
          <w:spacing w:val="-4"/>
          <w:lang w:val="en-US"/>
        </w:rPr>
        <w:t>recognised</w:t>
      </w:r>
      <w:proofErr w:type="spellEnd"/>
      <w:r w:rsidRPr="000D593D">
        <w:rPr>
          <w:rFonts w:ascii="Garamond" w:hAnsi="Garamond" w:cs="Times New Roman (Corpo CS)"/>
          <w:color w:val="000000" w:themeColor="text1"/>
          <w:spacing w:val="-4"/>
          <w:lang w:val="en-US"/>
        </w:rPr>
        <w:t xml:space="preserve"> as being among the least vaccine confident in the world in 2016, with France being identified as the most vaccine </w:t>
      </w:r>
      <w:proofErr w:type="spellStart"/>
      <w:r w:rsidRPr="000D593D">
        <w:rPr>
          <w:rFonts w:ascii="Garamond" w:hAnsi="Garamond" w:cs="Times New Roman (Corpo CS)"/>
          <w:color w:val="000000" w:themeColor="text1"/>
          <w:spacing w:val="-4"/>
          <w:lang w:val="en-US"/>
        </w:rPr>
        <w:t>sceptical</w:t>
      </w:r>
      <w:proofErr w:type="spellEnd"/>
      <w:r w:rsidRPr="000D593D">
        <w:rPr>
          <w:rFonts w:ascii="Garamond" w:hAnsi="Garamond" w:cs="Times New Roman (Corpo CS)"/>
          <w:color w:val="000000" w:themeColor="text1"/>
          <w:spacing w:val="-4"/>
          <w:lang w:val="en-US"/>
        </w:rPr>
        <w:t xml:space="preserve">». </w:t>
      </w:r>
      <w:r w:rsidRPr="000D593D">
        <w:rPr>
          <w:rFonts w:ascii="Garamond" w:hAnsi="Garamond" w:cs="Times New Roman (Corpo CS)"/>
          <w:smallCaps/>
          <w:color w:val="000000" w:themeColor="text1"/>
          <w:spacing w:val="-4"/>
          <w:lang w:val="en-US"/>
        </w:rPr>
        <w:t xml:space="preserve">E. </w:t>
      </w:r>
      <w:proofErr w:type="spellStart"/>
      <w:r w:rsidRPr="000D593D">
        <w:rPr>
          <w:rFonts w:ascii="Garamond" w:hAnsi="Garamond" w:cs="Times New Roman (Corpo CS)"/>
          <w:smallCaps/>
          <w:color w:val="000000" w:themeColor="text1"/>
          <w:spacing w:val="-4"/>
          <w:lang w:val="en-US"/>
        </w:rPr>
        <w:t>Karafillakis</w:t>
      </w:r>
      <w:proofErr w:type="spellEnd"/>
      <w:r w:rsidRPr="000D593D">
        <w:rPr>
          <w:rFonts w:ascii="Garamond" w:hAnsi="Garamond" w:cs="Times New Roman (Corpo CS)"/>
          <w:smallCaps/>
          <w:color w:val="000000" w:themeColor="text1"/>
          <w:spacing w:val="-4"/>
          <w:lang w:val="en-US"/>
        </w:rPr>
        <w:t xml:space="preserve">; P. Van Damme; G. </w:t>
      </w:r>
      <w:proofErr w:type="spellStart"/>
      <w:r w:rsidRPr="000D593D">
        <w:rPr>
          <w:rFonts w:ascii="Garamond" w:hAnsi="Garamond" w:cs="Times New Roman (Corpo CS)"/>
          <w:smallCaps/>
          <w:color w:val="000000" w:themeColor="text1"/>
          <w:spacing w:val="-4"/>
          <w:lang w:val="en-US"/>
        </w:rPr>
        <w:t>Hendrickx</w:t>
      </w:r>
      <w:proofErr w:type="spellEnd"/>
      <w:r w:rsidRPr="000D593D">
        <w:rPr>
          <w:rFonts w:ascii="Garamond" w:hAnsi="Garamond" w:cs="Times New Roman (Corpo CS)"/>
          <w:color w:val="000000" w:themeColor="text1"/>
          <w:spacing w:val="-4"/>
          <w:lang w:val="en-US"/>
        </w:rPr>
        <w:t xml:space="preserve">, </w:t>
      </w:r>
      <w:r w:rsidRPr="000D593D">
        <w:rPr>
          <w:rFonts w:ascii="Garamond" w:hAnsi="Garamond" w:cs="Times New Roman (Corpo CS)"/>
          <w:i/>
          <w:color w:val="000000" w:themeColor="text1"/>
          <w:spacing w:val="-4"/>
          <w:lang w:val="en-US"/>
        </w:rPr>
        <w:t>COVID-19 in Europe: new challenges for addressing vaccine hesitancy</w:t>
      </w:r>
      <w:r w:rsidRPr="000D593D">
        <w:rPr>
          <w:rFonts w:ascii="Garamond" w:hAnsi="Garamond" w:cs="Times New Roman (Corpo CS)"/>
          <w:color w:val="000000" w:themeColor="text1"/>
          <w:spacing w:val="-4"/>
          <w:lang w:val="en-US"/>
        </w:rPr>
        <w:t xml:space="preserve">, in </w:t>
      </w:r>
      <w:r w:rsidRPr="000D593D">
        <w:rPr>
          <w:rFonts w:ascii="Garamond" w:hAnsi="Garamond" w:cs="Times New Roman (Corpo CS)"/>
          <w:i/>
          <w:color w:val="000000" w:themeColor="text1"/>
          <w:spacing w:val="-4"/>
          <w:lang w:val="en-US"/>
        </w:rPr>
        <w:t>The Lancet</w:t>
      </w:r>
      <w:r w:rsidRPr="000D593D">
        <w:rPr>
          <w:rFonts w:ascii="Garamond" w:hAnsi="Garamond" w:cs="Times New Roman (Corpo CS)"/>
          <w:color w:val="000000" w:themeColor="text1"/>
          <w:spacing w:val="-4"/>
          <w:lang w:val="en-US"/>
        </w:rPr>
        <w:t>, 2022, pp. 699-701.</w:t>
      </w:r>
    </w:p>
  </w:footnote>
  <w:footnote w:id="63">
    <w:p w14:paraId="74401F00" w14:textId="77777777"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Par. 197, cit.</w:t>
      </w:r>
    </w:p>
  </w:footnote>
  <w:footnote w:id="64">
    <w:p w14:paraId="5AF2266E" w14:textId="77777777"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Par. 152.</w:t>
      </w:r>
    </w:p>
  </w:footnote>
  <w:footnote w:id="65">
    <w:p w14:paraId="16B9254D" w14:textId="0BF015FE"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In </w:t>
      </w:r>
      <w:proofErr w:type="spellStart"/>
      <w:r w:rsidRPr="000D593D">
        <w:rPr>
          <w:rFonts w:ascii="Garamond" w:hAnsi="Garamond" w:cs="Times New Roman (Corpo CS)"/>
          <w:color w:val="000000" w:themeColor="text1"/>
          <w:spacing w:val="-4"/>
          <w:lang w:val="en-US"/>
        </w:rPr>
        <w:t>particolare</w:t>
      </w:r>
      <w:proofErr w:type="spellEnd"/>
      <w:r w:rsidRPr="000D593D">
        <w:rPr>
          <w:rFonts w:ascii="Garamond" w:hAnsi="Garamond" w:cs="Times New Roman (Corpo CS)"/>
          <w:color w:val="000000" w:themeColor="text1"/>
          <w:spacing w:val="-4"/>
          <w:lang w:val="en-US"/>
        </w:rPr>
        <w:t xml:space="preserve">, la </w:t>
      </w:r>
      <w:proofErr w:type="spellStart"/>
      <w:r w:rsidRPr="000D593D">
        <w:rPr>
          <w:rFonts w:ascii="Garamond" w:hAnsi="Garamond" w:cs="Times New Roman (Corpo CS)"/>
          <w:color w:val="000000" w:themeColor="text1"/>
          <w:spacing w:val="-4"/>
          <w:lang w:val="en-US"/>
        </w:rPr>
        <w:t>scelta</w:t>
      </w:r>
      <w:proofErr w:type="spellEnd"/>
      <w:r w:rsidRPr="000D593D">
        <w:rPr>
          <w:rFonts w:ascii="Garamond" w:hAnsi="Garamond" w:cs="Times New Roman (Corpo CS)"/>
          <w:color w:val="000000" w:themeColor="text1"/>
          <w:spacing w:val="-4"/>
          <w:lang w:val="en-US"/>
        </w:rPr>
        <w:t xml:space="preserve"> del </w:t>
      </w:r>
      <w:proofErr w:type="spellStart"/>
      <w:r w:rsidRPr="000D593D">
        <w:rPr>
          <w:rFonts w:ascii="Garamond" w:hAnsi="Garamond" w:cs="Times New Roman (Corpo CS)"/>
          <w:color w:val="000000" w:themeColor="text1"/>
          <w:spacing w:val="-4"/>
          <w:lang w:val="en-US"/>
        </w:rPr>
        <w:t>ricorrente</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Vavricka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derivava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dalla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sua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preoccupazione</w:t>
      </w:r>
      <w:proofErr w:type="spellEnd"/>
      <w:r w:rsidRPr="000D593D">
        <w:rPr>
          <w:rFonts w:ascii="Garamond" w:hAnsi="Garamond" w:cs="Times New Roman (Corpo CS)"/>
          <w:color w:val="000000" w:themeColor="text1"/>
          <w:spacing w:val="-4"/>
          <w:lang w:val="en-US"/>
        </w:rPr>
        <w:t xml:space="preserve"> «for their physical integrity, fearing that vaccination could cause serious damage to their health». Par. 265. </w:t>
      </w:r>
    </w:p>
  </w:footnote>
  <w:footnote w:id="66">
    <w:p w14:paraId="57D8BE8F" w14:textId="1D87A050"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È poi </w:t>
      </w:r>
      <w:proofErr w:type="spellStart"/>
      <w:r w:rsidRPr="000D593D">
        <w:rPr>
          <w:rFonts w:ascii="Garamond" w:hAnsi="Garamond" w:cs="Times New Roman (Corpo CS)"/>
          <w:color w:val="000000" w:themeColor="text1"/>
          <w:spacing w:val="-4"/>
          <w:lang w:val="en-US"/>
        </w:rPr>
        <w:t>interessante</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rilevare</w:t>
      </w:r>
      <w:proofErr w:type="spellEnd"/>
      <w:r w:rsidRPr="000D593D">
        <w:rPr>
          <w:rFonts w:ascii="Garamond" w:hAnsi="Garamond" w:cs="Times New Roman (Corpo CS)"/>
          <w:color w:val="000000" w:themeColor="text1"/>
          <w:spacing w:val="-4"/>
          <w:lang w:val="en-US"/>
        </w:rPr>
        <w:t xml:space="preserve"> come, con </w:t>
      </w:r>
      <w:proofErr w:type="spellStart"/>
      <w:r w:rsidRPr="000D593D">
        <w:rPr>
          <w:rFonts w:ascii="Garamond" w:hAnsi="Garamond" w:cs="Times New Roman (Corpo CS)"/>
          <w:color w:val="000000" w:themeColor="text1"/>
          <w:spacing w:val="-4"/>
          <w:lang w:val="en-US"/>
        </w:rPr>
        <w:t>riferimento</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all’importanza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della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vaccinazione</w:t>
      </w:r>
      <w:proofErr w:type="spellEnd"/>
      <w:r w:rsidRPr="000D593D">
        <w:rPr>
          <w:rFonts w:ascii="Garamond" w:hAnsi="Garamond" w:cs="Times New Roman (Corpo CS)"/>
          <w:color w:val="000000" w:themeColor="text1"/>
          <w:spacing w:val="-4"/>
          <w:lang w:val="en-US"/>
        </w:rPr>
        <w:t xml:space="preserve">, la Corte </w:t>
      </w:r>
      <w:proofErr w:type="spellStart"/>
      <w:r w:rsidRPr="000D593D">
        <w:rPr>
          <w:rFonts w:ascii="Garamond" w:hAnsi="Garamond" w:cs="Times New Roman (Corpo CS)"/>
          <w:color w:val="000000" w:themeColor="text1"/>
          <w:spacing w:val="-4"/>
          <w:lang w:val="en-US"/>
        </w:rPr>
        <w:t>richiami</w:t>
      </w:r>
      <w:proofErr w:type="spellEnd"/>
      <w:r w:rsidRPr="000D593D">
        <w:rPr>
          <w:rFonts w:ascii="Garamond" w:hAnsi="Garamond" w:cs="Times New Roman (Corpo CS)"/>
          <w:color w:val="000000" w:themeColor="text1"/>
          <w:spacing w:val="-4"/>
          <w:lang w:val="en-US"/>
        </w:rPr>
        <w:t xml:space="preserve"> in senso </w:t>
      </w:r>
      <w:proofErr w:type="spellStart"/>
      <w:r w:rsidRPr="000D593D">
        <w:rPr>
          <w:rFonts w:ascii="Garamond" w:hAnsi="Garamond" w:cs="Times New Roman (Corpo CS)"/>
          <w:color w:val="000000" w:themeColor="text1"/>
          <w:spacing w:val="-4"/>
          <w:lang w:val="en-US"/>
        </w:rPr>
        <w:t>lato</w:t>
      </w:r>
      <w:proofErr w:type="spellEnd"/>
      <w:r w:rsidRPr="000D593D">
        <w:rPr>
          <w:rFonts w:ascii="Garamond" w:hAnsi="Garamond" w:cs="Times New Roman (Corpo CS)"/>
          <w:color w:val="000000" w:themeColor="text1"/>
          <w:spacing w:val="-4"/>
          <w:lang w:val="en-US"/>
        </w:rPr>
        <w:t xml:space="preserve"> il «</w:t>
      </w:r>
      <w:proofErr w:type="gramStart"/>
      <w:r w:rsidRPr="000D593D">
        <w:rPr>
          <w:rFonts w:ascii="Garamond" w:hAnsi="Garamond" w:cs="Times New Roman (Corpo CS)"/>
          <w:color w:val="000000" w:themeColor="text1"/>
          <w:spacing w:val="-4"/>
          <w:lang w:val="en-US"/>
        </w:rPr>
        <w:t>general consensus</w:t>
      </w:r>
      <w:proofErr w:type="gramEnd"/>
      <w:r w:rsidRPr="000D593D">
        <w:rPr>
          <w:rFonts w:ascii="Garamond" w:hAnsi="Garamond" w:cs="Times New Roman (Corpo CS)"/>
          <w:color w:val="000000" w:themeColor="text1"/>
          <w:spacing w:val="-4"/>
          <w:lang w:val="en-US"/>
        </w:rPr>
        <w:t xml:space="preserve"> among the Contracting Parties, strongly supported by the </w:t>
      </w:r>
      <w:proofErr w:type="spellStart"/>
      <w:r w:rsidRPr="000D593D">
        <w:rPr>
          <w:rFonts w:ascii="Garamond" w:hAnsi="Garamond" w:cs="Times New Roman (Corpo CS)"/>
          <w:color w:val="000000" w:themeColor="text1"/>
          <w:spacing w:val="-4"/>
          <w:lang w:val="en-US"/>
        </w:rPr>
        <w:t>specialised</w:t>
      </w:r>
      <w:proofErr w:type="spellEnd"/>
      <w:r w:rsidRPr="000D593D">
        <w:rPr>
          <w:rFonts w:ascii="Garamond" w:hAnsi="Garamond" w:cs="Times New Roman (Corpo CS)"/>
          <w:color w:val="000000" w:themeColor="text1"/>
          <w:spacing w:val="-4"/>
          <w:lang w:val="en-US"/>
        </w:rPr>
        <w:t xml:space="preserve"> international bodies, that vaccination is one of the most successful and cost-effective health interventions and that each State should aim to achieve the highest possible level of vaccination among its population». Par. 277.</w:t>
      </w:r>
    </w:p>
  </w:footnote>
  <w:footnote w:id="67">
    <w:p w14:paraId="311347A5" w14:textId="624CF389" w:rsidR="006B1761" w:rsidRPr="000D593D" w:rsidRDefault="006B1761" w:rsidP="00B67169">
      <w:pPr>
        <w:pStyle w:val="Testonotaapidipagina"/>
        <w:jc w:val="both"/>
        <w:rPr>
          <w:rFonts w:ascii="Garamond" w:hAnsi="Garamond" w:cs="Times New Roman (Corpo CS)"/>
          <w:color w:val="000000" w:themeColor="text1"/>
          <w:spacing w:val="-4"/>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Che </w:t>
      </w:r>
      <w:proofErr w:type="spellStart"/>
      <w:r w:rsidRPr="000D593D">
        <w:rPr>
          <w:rFonts w:ascii="Garamond" w:hAnsi="Garamond" w:cs="Times New Roman (Corpo CS)"/>
          <w:color w:val="000000" w:themeColor="text1"/>
          <w:spacing w:val="-4"/>
          <w:lang w:val="en-US"/>
        </w:rPr>
        <w:t>deriva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dalla</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conseguenza</w:t>
      </w:r>
      <w:proofErr w:type="spellEnd"/>
      <w:r w:rsidRPr="000D593D">
        <w:rPr>
          <w:rFonts w:ascii="Garamond" w:hAnsi="Garamond" w:cs="Times New Roman (Corpo CS)"/>
          <w:color w:val="000000" w:themeColor="text1"/>
          <w:spacing w:val="-4"/>
          <w:lang w:val="en-US"/>
        </w:rPr>
        <w:t xml:space="preserve"> in base </w:t>
      </w:r>
      <w:proofErr w:type="spellStart"/>
      <w:r w:rsidRPr="000D593D">
        <w:rPr>
          <w:rFonts w:ascii="Garamond" w:hAnsi="Garamond" w:cs="Times New Roman (Corpo CS)"/>
          <w:color w:val="000000" w:themeColor="text1"/>
          <w:spacing w:val="-4"/>
          <w:lang w:val="en-US"/>
        </w:rPr>
        <w:t>alla</w:t>
      </w:r>
      <w:proofErr w:type="spellEnd"/>
      <w:r w:rsidRPr="000D593D">
        <w:rPr>
          <w:rFonts w:ascii="Garamond" w:hAnsi="Garamond" w:cs="Times New Roman (Corpo CS)"/>
          <w:color w:val="000000" w:themeColor="text1"/>
          <w:spacing w:val="-4"/>
          <w:lang w:val="en-US"/>
        </w:rPr>
        <w:t xml:space="preserve"> quale </w:t>
      </w:r>
      <w:proofErr w:type="spellStart"/>
      <w:r w:rsidRPr="000D593D">
        <w:rPr>
          <w:rFonts w:ascii="Garamond" w:hAnsi="Garamond" w:cs="Times New Roman (Corpo CS)"/>
          <w:color w:val="000000" w:themeColor="text1"/>
          <w:spacing w:val="-4"/>
          <w:lang w:val="en-US"/>
        </w:rPr>
        <w:t>i</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legislatori</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degli</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Stati</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membri</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sono</w:t>
      </w:r>
      <w:proofErr w:type="spellEnd"/>
      <w:r w:rsidRPr="000D593D">
        <w:rPr>
          <w:rFonts w:ascii="Garamond" w:hAnsi="Garamond" w:cs="Times New Roman (Corpo CS)"/>
          <w:color w:val="000000" w:themeColor="text1"/>
          <w:spacing w:val="-4"/>
          <w:lang w:val="en-US"/>
        </w:rPr>
        <w:t xml:space="preserve"> «in principle better placed than an international court to evaluate local needs and conditions». </w:t>
      </w:r>
      <w:r w:rsidRPr="000D593D">
        <w:rPr>
          <w:rFonts w:ascii="Garamond" w:hAnsi="Garamond" w:cs="Times New Roman (Corpo CS)"/>
          <w:color w:val="000000" w:themeColor="text1"/>
          <w:spacing w:val="-4"/>
        </w:rPr>
        <w:t xml:space="preserve">Gli </w:t>
      </w:r>
      <w:r w:rsidR="006162CD" w:rsidRPr="000D593D">
        <w:rPr>
          <w:rFonts w:ascii="Garamond" w:hAnsi="Garamond" w:cs="Times New Roman (Corpo CS)"/>
          <w:color w:val="000000" w:themeColor="text1"/>
          <w:spacing w:val="-4"/>
        </w:rPr>
        <w:t>S</w:t>
      </w:r>
      <w:r w:rsidRPr="000D593D">
        <w:rPr>
          <w:rFonts w:ascii="Garamond" w:hAnsi="Garamond" w:cs="Times New Roman (Corpo CS)"/>
          <w:color w:val="000000" w:themeColor="text1"/>
          <w:spacing w:val="-4"/>
        </w:rPr>
        <w:t>tati membri, peraltro, s</w:t>
      </w:r>
      <w:r w:rsidR="006162CD" w:rsidRPr="000D593D">
        <w:rPr>
          <w:rFonts w:ascii="Garamond" w:hAnsi="Garamond" w:cs="Times New Roman (Corpo CS)"/>
          <w:color w:val="000000" w:themeColor="text1"/>
          <w:spacing w:val="-4"/>
        </w:rPr>
        <w:t>i trovano</w:t>
      </w:r>
      <w:r w:rsidRPr="000D593D">
        <w:rPr>
          <w:rFonts w:ascii="Garamond" w:hAnsi="Garamond" w:cs="Times New Roman (Corpo CS)"/>
          <w:color w:val="000000" w:themeColor="text1"/>
          <w:spacing w:val="-4"/>
        </w:rPr>
        <w:t xml:space="preserve"> nella</w:t>
      </w:r>
      <w:r w:rsidRPr="00B935F1">
        <w:rPr>
          <w:rFonts w:ascii="Garamond" w:hAnsi="Garamond"/>
          <w:color w:val="000000" w:themeColor="text1"/>
        </w:rPr>
        <w:t xml:space="preserve"> </w:t>
      </w:r>
      <w:r w:rsidRPr="000D593D">
        <w:rPr>
          <w:rFonts w:ascii="Garamond" w:hAnsi="Garamond" w:cs="Times New Roman (Corpo CS)"/>
          <w:color w:val="000000" w:themeColor="text1"/>
          <w:spacing w:val="-4"/>
        </w:rPr>
        <w:t xml:space="preserve">posizione migliore (rispetto alla Corte EDU) </w:t>
      </w:r>
      <w:r w:rsidR="006162CD" w:rsidRPr="000D593D">
        <w:rPr>
          <w:rFonts w:ascii="Garamond" w:hAnsi="Garamond" w:cs="Times New Roman (Corpo CS)"/>
          <w:color w:val="000000" w:themeColor="text1"/>
          <w:spacing w:val="-4"/>
        </w:rPr>
        <w:t>per</w:t>
      </w:r>
      <w:r w:rsidRPr="000D593D">
        <w:rPr>
          <w:rFonts w:ascii="Garamond" w:hAnsi="Garamond" w:cs="Times New Roman (Corpo CS)"/>
          <w:color w:val="000000" w:themeColor="text1"/>
          <w:spacing w:val="-4"/>
        </w:rPr>
        <w:t xml:space="preserve"> operare un ragionevole bilanciamento tra interesse collettivo e libertà individuali, per perseguire i propri obiettivi, ricorrendo, se necessario per proteggere la salute della collettività, anche a mezzi che limitano talune libertà individuali, purché vengano rispettati i requisiti previsti dall’art. 8 CEDU. Par. 273, </w:t>
      </w:r>
      <w:proofErr w:type="spellStart"/>
      <w:r w:rsidRPr="000D593D">
        <w:rPr>
          <w:rFonts w:ascii="Garamond" w:hAnsi="Garamond" w:cs="Times New Roman (Corpo CS)"/>
          <w:i/>
          <w:color w:val="000000" w:themeColor="text1"/>
          <w:spacing w:val="-4"/>
        </w:rPr>
        <w:t>Vavricka</w:t>
      </w:r>
      <w:proofErr w:type="spellEnd"/>
      <w:r w:rsidRPr="000D593D">
        <w:rPr>
          <w:rFonts w:ascii="Garamond" w:hAnsi="Garamond" w:cs="Times New Roman (Corpo CS)"/>
          <w:i/>
          <w:color w:val="000000" w:themeColor="text1"/>
          <w:spacing w:val="-4"/>
        </w:rPr>
        <w:t xml:space="preserve"> and Others V. the </w:t>
      </w:r>
      <w:proofErr w:type="spellStart"/>
      <w:r w:rsidRPr="000D593D">
        <w:rPr>
          <w:rFonts w:ascii="Garamond" w:hAnsi="Garamond" w:cs="Times New Roman (Corpo CS)"/>
          <w:i/>
          <w:color w:val="000000" w:themeColor="text1"/>
          <w:spacing w:val="-4"/>
        </w:rPr>
        <w:t>Czech</w:t>
      </w:r>
      <w:proofErr w:type="spellEnd"/>
      <w:r w:rsidRPr="000D593D">
        <w:rPr>
          <w:rFonts w:ascii="Garamond" w:hAnsi="Garamond" w:cs="Times New Roman (Corpo CS)"/>
          <w:i/>
          <w:color w:val="000000" w:themeColor="text1"/>
          <w:spacing w:val="-4"/>
        </w:rPr>
        <w:t xml:space="preserve"> Republic</w:t>
      </w:r>
      <w:r w:rsidRPr="000D593D">
        <w:rPr>
          <w:rFonts w:ascii="Garamond" w:hAnsi="Garamond" w:cs="Times New Roman (Corpo CS)"/>
          <w:color w:val="000000" w:themeColor="text1"/>
          <w:spacing w:val="-4"/>
        </w:rPr>
        <w:t xml:space="preserve">, cit.  </w:t>
      </w:r>
      <w:r w:rsidRPr="000D593D">
        <w:rPr>
          <w:rFonts w:ascii="Garamond" w:hAnsi="Garamond" w:cs="Times New Roman (Corpo CS)"/>
          <w:smallCaps/>
          <w:color w:val="000000" w:themeColor="text1"/>
          <w:spacing w:val="-4"/>
        </w:rPr>
        <w:t>M. Tomasi</w:t>
      </w:r>
      <w:r w:rsidRPr="000D593D">
        <w:rPr>
          <w:rFonts w:ascii="Garamond" w:hAnsi="Garamond" w:cs="Times New Roman (Corpo CS)"/>
          <w:color w:val="000000" w:themeColor="text1"/>
          <w:spacing w:val="-4"/>
        </w:rPr>
        <w:t xml:space="preserve">, </w:t>
      </w:r>
      <w:r w:rsidRPr="000D593D">
        <w:rPr>
          <w:rFonts w:ascii="Garamond" w:hAnsi="Garamond" w:cs="Times New Roman (Corpo CS)"/>
          <w:i/>
          <w:color w:val="000000" w:themeColor="text1"/>
          <w:spacing w:val="-4"/>
        </w:rPr>
        <w:t xml:space="preserve">La proporzionalità degli obblighi vaccinali nella lettura della Corte </w:t>
      </w:r>
      <w:proofErr w:type="spellStart"/>
      <w:r w:rsidRPr="000D593D">
        <w:rPr>
          <w:rFonts w:ascii="Garamond" w:hAnsi="Garamond" w:cs="Times New Roman (Corpo CS)"/>
          <w:i/>
          <w:color w:val="000000" w:themeColor="text1"/>
          <w:spacing w:val="-4"/>
        </w:rPr>
        <w:t>Edu</w:t>
      </w:r>
      <w:proofErr w:type="spellEnd"/>
      <w:r w:rsidRPr="000D593D">
        <w:rPr>
          <w:rFonts w:ascii="Garamond" w:hAnsi="Garamond" w:cs="Times New Roman (Corpo CS)"/>
          <w:color w:val="000000" w:themeColor="text1"/>
          <w:spacing w:val="-4"/>
        </w:rPr>
        <w:t xml:space="preserve">, in </w:t>
      </w:r>
      <w:r w:rsidRPr="000D593D">
        <w:rPr>
          <w:rFonts w:ascii="Garamond" w:hAnsi="Garamond" w:cs="Times New Roman (Corpo CS)"/>
          <w:i/>
          <w:color w:val="000000" w:themeColor="text1"/>
          <w:spacing w:val="-4"/>
        </w:rPr>
        <w:t>Quad Cost.</w:t>
      </w:r>
      <w:r w:rsidRPr="000D593D">
        <w:rPr>
          <w:rFonts w:ascii="Garamond" w:hAnsi="Garamond" w:cs="Times New Roman (Corpo CS)"/>
          <w:color w:val="000000" w:themeColor="text1"/>
          <w:spacing w:val="-4"/>
        </w:rPr>
        <w:t xml:space="preserve">, 2021, pp. 445-448. </w:t>
      </w:r>
      <w:r w:rsidRPr="000D593D">
        <w:rPr>
          <w:rFonts w:ascii="Garamond" w:hAnsi="Garamond" w:cs="Times New Roman (Corpo CS)"/>
          <w:smallCaps/>
          <w:color w:val="000000" w:themeColor="text1"/>
          <w:spacing w:val="-4"/>
        </w:rPr>
        <w:t>A. Scarcella</w:t>
      </w:r>
      <w:r w:rsidRPr="000D593D">
        <w:rPr>
          <w:rFonts w:ascii="Garamond" w:hAnsi="Garamond" w:cs="Times New Roman (Corpo CS)"/>
          <w:i/>
          <w:iCs/>
          <w:color w:val="000000" w:themeColor="text1"/>
          <w:spacing w:val="-4"/>
        </w:rPr>
        <w:t xml:space="preserve">, La Corte di </w:t>
      </w:r>
      <w:proofErr w:type="spellStart"/>
      <w:r w:rsidRPr="000D593D">
        <w:rPr>
          <w:rFonts w:ascii="Garamond" w:hAnsi="Garamond" w:cs="Times New Roman (Corpo CS)"/>
          <w:i/>
          <w:iCs/>
          <w:color w:val="000000" w:themeColor="text1"/>
          <w:spacing w:val="-4"/>
        </w:rPr>
        <w:t>Starsburgo</w:t>
      </w:r>
      <w:proofErr w:type="spellEnd"/>
      <w:r w:rsidRPr="000D593D">
        <w:rPr>
          <w:rFonts w:ascii="Garamond" w:hAnsi="Garamond" w:cs="Times New Roman (Corpo CS)"/>
          <w:i/>
          <w:iCs/>
          <w:color w:val="000000" w:themeColor="text1"/>
          <w:spacing w:val="-4"/>
        </w:rPr>
        <w:t xml:space="preserve"> decide sulla vaccinazione </w:t>
      </w:r>
      <w:proofErr w:type="spellStart"/>
      <w:r w:rsidRPr="000D593D">
        <w:rPr>
          <w:rFonts w:ascii="Garamond" w:hAnsi="Garamond" w:cs="Times New Roman (Corpo CS)"/>
          <w:i/>
          <w:iCs/>
          <w:color w:val="000000" w:themeColor="text1"/>
          <w:spacing w:val="-4"/>
        </w:rPr>
        <w:t>infantiloe</w:t>
      </w:r>
      <w:proofErr w:type="spellEnd"/>
      <w:r w:rsidRPr="000D593D">
        <w:rPr>
          <w:rFonts w:ascii="Garamond" w:hAnsi="Garamond" w:cs="Times New Roman (Corpo CS)"/>
          <w:i/>
          <w:iCs/>
          <w:color w:val="000000" w:themeColor="text1"/>
          <w:spacing w:val="-4"/>
        </w:rPr>
        <w:t xml:space="preserve"> obbligatoria: non è violazione della CEDU, </w:t>
      </w:r>
      <w:r w:rsidRPr="000D593D">
        <w:rPr>
          <w:rFonts w:ascii="Garamond" w:hAnsi="Garamond" w:cs="Times New Roman (Corpo CS)"/>
          <w:color w:val="000000" w:themeColor="text1"/>
          <w:spacing w:val="-4"/>
        </w:rPr>
        <w:t xml:space="preserve">in </w:t>
      </w:r>
      <w:r w:rsidRPr="000D593D">
        <w:rPr>
          <w:rFonts w:ascii="Garamond" w:hAnsi="Garamond" w:cs="Times New Roman (Corpo CS)"/>
          <w:i/>
          <w:iCs/>
          <w:color w:val="000000" w:themeColor="text1"/>
          <w:spacing w:val="-4"/>
        </w:rPr>
        <w:t>Wolters Kluwer</w:t>
      </w:r>
      <w:r w:rsidRPr="000D593D">
        <w:rPr>
          <w:rFonts w:ascii="Garamond" w:hAnsi="Garamond" w:cs="Times New Roman (Corpo CS)"/>
          <w:color w:val="000000" w:themeColor="text1"/>
          <w:spacing w:val="-4"/>
        </w:rPr>
        <w:t xml:space="preserve">, 2021, pp. 1-2.  </w:t>
      </w:r>
    </w:p>
  </w:footnote>
  <w:footnote w:id="68">
    <w:p w14:paraId="4BB05AA9" w14:textId="190C0AF0" w:rsidR="006B1761" w:rsidRPr="000D593D" w:rsidRDefault="006B1761" w:rsidP="00B67169">
      <w:pPr>
        <w:pStyle w:val="Testonotaapidipagina"/>
        <w:jc w:val="both"/>
        <w:rPr>
          <w:rFonts w:ascii="Garamond" w:hAnsi="Garamond" w:cs="Times New Roman (Corpo CS)"/>
          <w:color w:val="000000" w:themeColor="text1"/>
          <w:spacing w:val="-4"/>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rPr>
        <w:t xml:space="preserve"> Articolo 11 Carta sociale europea «Per assicurare l’effettivo esercizio del diritto alla protezione della salute, le Parti s’impegnano ad adottare sia direttamente sia in cooperazione con le organizzazioni pubbliche e private, adeguate misure volte in particolare: (…) a prevenire, per quanto possibile, le malattie epidemiche, endemiche e di altra natura, nonché gli infortuni».</w:t>
      </w:r>
    </w:p>
  </w:footnote>
  <w:footnote w:id="69">
    <w:p w14:paraId="4792D771" w14:textId="77777777"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Par. 281.</w:t>
      </w:r>
    </w:p>
  </w:footnote>
  <w:footnote w:id="70">
    <w:p w14:paraId="675FDFEB" w14:textId="58C8BE33"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Nel </w:t>
      </w:r>
      <w:proofErr w:type="spellStart"/>
      <w:r w:rsidRPr="000D593D">
        <w:rPr>
          <w:rFonts w:ascii="Garamond" w:hAnsi="Garamond" w:cs="Times New Roman (Corpo CS)"/>
          <w:color w:val="000000" w:themeColor="text1"/>
          <w:spacing w:val="-4"/>
          <w:lang w:val="en-US"/>
        </w:rPr>
        <w:t>giustificare</w:t>
      </w:r>
      <w:proofErr w:type="spellEnd"/>
      <w:r w:rsidRPr="000D593D">
        <w:rPr>
          <w:rFonts w:ascii="Garamond" w:hAnsi="Garamond" w:cs="Times New Roman (Corpo CS)"/>
          <w:color w:val="000000" w:themeColor="text1"/>
          <w:spacing w:val="-4"/>
          <w:lang w:val="en-US"/>
        </w:rPr>
        <w:t xml:space="preserve"> la </w:t>
      </w:r>
      <w:proofErr w:type="spellStart"/>
      <w:r w:rsidRPr="000D593D">
        <w:rPr>
          <w:rFonts w:ascii="Garamond" w:hAnsi="Garamond" w:cs="Times New Roman (Corpo CS)"/>
          <w:color w:val="000000" w:themeColor="text1"/>
          <w:spacing w:val="-4"/>
          <w:lang w:val="en-US"/>
        </w:rPr>
        <w:t>legittimità</w:t>
      </w:r>
      <w:proofErr w:type="spellEnd"/>
      <w:r w:rsidRPr="000D593D">
        <w:rPr>
          <w:rFonts w:ascii="Garamond" w:hAnsi="Garamond" w:cs="Times New Roman (Corpo CS)"/>
          <w:color w:val="000000" w:themeColor="text1"/>
          <w:spacing w:val="-4"/>
          <w:lang w:val="en-US"/>
        </w:rPr>
        <w:t xml:space="preserve"> di tale </w:t>
      </w:r>
      <w:proofErr w:type="spellStart"/>
      <w:r w:rsidRPr="000D593D">
        <w:rPr>
          <w:rFonts w:ascii="Garamond" w:hAnsi="Garamond" w:cs="Times New Roman (Corpo CS)"/>
          <w:color w:val="000000" w:themeColor="text1"/>
          <w:spacing w:val="-4"/>
          <w:lang w:val="en-US"/>
        </w:rPr>
        <w:t>misura</w:t>
      </w:r>
      <w:proofErr w:type="spellEnd"/>
      <w:r w:rsidRPr="000D593D">
        <w:rPr>
          <w:rFonts w:ascii="Garamond" w:hAnsi="Garamond" w:cs="Times New Roman (Corpo CS)"/>
          <w:color w:val="000000" w:themeColor="text1"/>
          <w:spacing w:val="-4"/>
          <w:lang w:val="en-US"/>
        </w:rPr>
        <w:t>, «</w:t>
      </w:r>
      <w:r w:rsidRPr="000D593D">
        <w:rPr>
          <w:rFonts w:ascii="Garamond" w:hAnsi="Garamond" w:cs="Times New Roman (Corpo CS)"/>
          <w:i/>
          <w:color w:val="000000" w:themeColor="text1"/>
          <w:spacing w:val="-4"/>
          <w:lang w:val="en-US"/>
        </w:rPr>
        <w:t>the Court has already acknowledged the weighty public health rationale underlying this policy choice, notably in terms of the efficacy and safety of childhood vaccination».</w:t>
      </w:r>
      <w:r w:rsidRPr="000D593D">
        <w:rPr>
          <w:rFonts w:ascii="Garamond" w:hAnsi="Garamond" w:cs="Times New Roman (Corpo CS)"/>
          <w:color w:val="000000" w:themeColor="text1"/>
          <w:spacing w:val="-4"/>
          <w:lang w:val="en-US"/>
        </w:rPr>
        <w:t> Par. 285.</w:t>
      </w:r>
    </w:p>
  </w:footnote>
  <w:footnote w:id="71">
    <w:p w14:paraId="641E1A5A" w14:textId="78D0AE7A" w:rsidR="006B1761" w:rsidRPr="000D593D" w:rsidRDefault="006B1761" w:rsidP="00B67169">
      <w:pPr>
        <w:pStyle w:val="Testonotaapidipagina"/>
        <w:jc w:val="both"/>
        <w:rPr>
          <w:rFonts w:ascii="Garamond" w:hAnsi="Garamond" w:cs="Times New Roman (Corpo CS)"/>
          <w:color w:val="000000" w:themeColor="text1"/>
          <w:spacing w:val="-4"/>
          <w:lang w:val="en-US"/>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i/>
          <w:color w:val="000000" w:themeColor="text1"/>
          <w:spacing w:val="-4"/>
          <w:lang w:val="en-US"/>
        </w:rPr>
        <w:t>Iv</w:t>
      </w:r>
      <w:r w:rsidRPr="000D593D">
        <w:rPr>
          <w:rFonts w:ascii="Garamond" w:hAnsi="Garamond" w:cs="Times New Roman (Corpo CS)"/>
          <w:color w:val="000000" w:themeColor="text1"/>
          <w:spacing w:val="-4"/>
          <w:lang w:val="en-US"/>
        </w:rPr>
        <w:t>i</w:t>
      </w:r>
      <w:proofErr w:type="spellEnd"/>
      <w:r w:rsidRPr="000D593D">
        <w:rPr>
          <w:rFonts w:ascii="Garamond" w:hAnsi="Garamond" w:cs="Times New Roman (Corpo CS)"/>
          <w:color w:val="000000" w:themeColor="text1"/>
          <w:spacing w:val="-4"/>
          <w:lang w:val="en-US"/>
        </w:rPr>
        <w:t>.</w:t>
      </w:r>
    </w:p>
  </w:footnote>
  <w:footnote w:id="72">
    <w:p w14:paraId="71E5E2AE" w14:textId="3356DA42" w:rsidR="006B1761" w:rsidRPr="000D593D" w:rsidRDefault="006B1761" w:rsidP="00B67169">
      <w:pPr>
        <w:pStyle w:val="Testonotaapidipagina"/>
        <w:jc w:val="both"/>
        <w:rPr>
          <w:rFonts w:ascii="Garamond" w:hAnsi="Garamond" w:cs="Times New Roman (Corpo CS)"/>
          <w:color w:val="000000" w:themeColor="text1"/>
          <w:spacing w:val="-4"/>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Etichettando</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l’obbligo</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vaccinale</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previsto</w:t>
      </w:r>
      <w:proofErr w:type="spellEnd"/>
      <w:r w:rsidRPr="000D593D">
        <w:rPr>
          <w:rFonts w:ascii="Garamond" w:hAnsi="Garamond" w:cs="Times New Roman (Corpo CS)"/>
          <w:color w:val="000000" w:themeColor="text1"/>
          <w:spacing w:val="-4"/>
          <w:lang w:val="en-US"/>
        </w:rPr>
        <w:t xml:space="preserve"> dal </w:t>
      </w:r>
      <w:proofErr w:type="spellStart"/>
      <w:r w:rsidRPr="000D593D">
        <w:rPr>
          <w:rFonts w:ascii="Garamond" w:hAnsi="Garamond" w:cs="Times New Roman (Corpo CS)"/>
          <w:color w:val="000000" w:themeColor="text1"/>
          <w:spacing w:val="-4"/>
          <w:lang w:val="en-US"/>
        </w:rPr>
        <w:t>legislatore</w:t>
      </w:r>
      <w:proofErr w:type="spellEnd"/>
      <w:r w:rsidRPr="000D593D">
        <w:rPr>
          <w:rFonts w:ascii="Garamond" w:hAnsi="Garamond" w:cs="Times New Roman (Corpo CS)"/>
          <w:color w:val="000000" w:themeColor="text1"/>
          <w:spacing w:val="-4"/>
          <w:lang w:val="en-US"/>
        </w:rPr>
        <w:t xml:space="preserve"> </w:t>
      </w:r>
      <w:proofErr w:type="spellStart"/>
      <w:r w:rsidRPr="000D593D">
        <w:rPr>
          <w:rFonts w:ascii="Garamond" w:hAnsi="Garamond" w:cs="Times New Roman (Corpo CS)"/>
          <w:color w:val="000000" w:themeColor="text1"/>
          <w:spacing w:val="-4"/>
          <w:lang w:val="en-US"/>
        </w:rPr>
        <w:t>ceco</w:t>
      </w:r>
      <w:proofErr w:type="spellEnd"/>
      <w:r w:rsidRPr="000D593D">
        <w:rPr>
          <w:rFonts w:ascii="Garamond" w:hAnsi="Garamond" w:cs="Times New Roman (Corpo CS)"/>
          <w:color w:val="000000" w:themeColor="text1"/>
          <w:spacing w:val="-4"/>
          <w:lang w:val="en-US"/>
        </w:rPr>
        <w:t xml:space="preserve"> come «</w:t>
      </w:r>
      <w:r w:rsidRPr="000D593D">
        <w:rPr>
          <w:rFonts w:ascii="Garamond" w:hAnsi="Garamond" w:cs="Times New Roman (Corpo CS)"/>
          <w:i/>
          <w:color w:val="000000" w:themeColor="text1"/>
          <w:spacing w:val="-4"/>
          <w:lang w:val="en-US"/>
        </w:rPr>
        <w:t xml:space="preserve">universally </w:t>
      </w:r>
      <w:proofErr w:type="spellStart"/>
      <w:r w:rsidRPr="000D593D">
        <w:rPr>
          <w:rFonts w:ascii="Garamond" w:hAnsi="Garamond" w:cs="Times New Roman (Corpo CS)"/>
          <w:i/>
          <w:color w:val="000000" w:themeColor="text1"/>
          <w:spacing w:val="-4"/>
          <w:lang w:val="en-US"/>
        </w:rPr>
        <w:t>practised</w:t>
      </w:r>
      <w:proofErr w:type="spellEnd"/>
      <w:r w:rsidRPr="000D593D">
        <w:rPr>
          <w:rFonts w:ascii="Garamond" w:hAnsi="Garamond" w:cs="Times New Roman (Corpo CS)"/>
          <w:i/>
          <w:color w:val="000000" w:themeColor="text1"/>
          <w:spacing w:val="-4"/>
          <w:lang w:val="en-US"/>
        </w:rPr>
        <w:t xml:space="preserve"> protective measure </w:t>
      </w:r>
      <w:r w:rsidRPr="000D593D">
        <w:rPr>
          <w:rFonts w:ascii="Garamond" w:hAnsi="Garamond" w:cs="Times New Roman (Corpo CS)"/>
          <w:color w:val="000000" w:themeColor="text1"/>
          <w:spacing w:val="-4"/>
          <w:lang w:val="en-US"/>
        </w:rPr>
        <w:t>(…)</w:t>
      </w:r>
      <w:r w:rsidRPr="000D593D">
        <w:rPr>
          <w:rFonts w:ascii="Garamond" w:hAnsi="Garamond" w:cs="Times New Roman (Corpo CS)"/>
          <w:i/>
          <w:color w:val="000000" w:themeColor="text1"/>
          <w:spacing w:val="-4"/>
          <w:lang w:val="en-US"/>
        </w:rPr>
        <w:t xml:space="preserve"> in the name of social solidarity, for the sake of the small number of vulnerable children who are unable to benefit from vaccination</w:t>
      </w:r>
      <w:r w:rsidRPr="000D593D">
        <w:rPr>
          <w:rFonts w:ascii="Garamond" w:hAnsi="Garamond" w:cs="Times New Roman (Corpo CS)"/>
          <w:color w:val="000000" w:themeColor="text1"/>
          <w:spacing w:val="-4"/>
          <w:lang w:val="en-US"/>
        </w:rPr>
        <w:t xml:space="preserve">». </w:t>
      </w:r>
      <w:r w:rsidRPr="000D593D">
        <w:rPr>
          <w:rFonts w:ascii="Garamond" w:hAnsi="Garamond" w:cs="Times New Roman (Corpo CS)"/>
          <w:color w:val="000000" w:themeColor="text1"/>
          <w:spacing w:val="-4"/>
        </w:rPr>
        <w:t>Par. 306.</w:t>
      </w:r>
    </w:p>
  </w:footnote>
  <w:footnote w:id="73">
    <w:p w14:paraId="1B36344F" w14:textId="1557E37B" w:rsidR="006B1761" w:rsidRPr="00B935F1" w:rsidRDefault="006B1761" w:rsidP="00B67169">
      <w:pPr>
        <w:pStyle w:val="Testonotaapidipagina"/>
        <w:jc w:val="both"/>
        <w:rPr>
          <w:rFonts w:ascii="Garamond" w:hAnsi="Garamond"/>
          <w:color w:val="000000" w:themeColor="text1"/>
        </w:rPr>
      </w:pPr>
      <w:r w:rsidRPr="000D593D">
        <w:rPr>
          <w:rStyle w:val="Rimandonotaapidipagina"/>
          <w:rFonts w:ascii="Garamond" w:hAnsi="Garamond" w:cs="Times New Roman (Corpo CS)"/>
          <w:color w:val="000000" w:themeColor="text1"/>
          <w:spacing w:val="-4"/>
        </w:rPr>
        <w:footnoteRef/>
      </w:r>
      <w:r w:rsidRPr="000D593D">
        <w:rPr>
          <w:rFonts w:ascii="Garamond" w:hAnsi="Garamond" w:cs="Times New Roman (Corpo CS)"/>
          <w:color w:val="000000" w:themeColor="text1"/>
          <w:spacing w:val="-4"/>
        </w:rPr>
        <w:t xml:space="preserve"> </w:t>
      </w:r>
      <w:r w:rsidRPr="000D593D">
        <w:rPr>
          <w:rFonts w:ascii="Garamond" w:hAnsi="Garamond" w:cs="Times New Roman (Corpo CS)"/>
          <w:i/>
          <w:color w:val="000000" w:themeColor="text1"/>
          <w:spacing w:val="-4"/>
        </w:rPr>
        <w:t>Ivi</w:t>
      </w:r>
      <w:r w:rsidRPr="000D593D">
        <w:rPr>
          <w:rFonts w:ascii="Garamond" w:hAnsi="Garamond" w:cs="Times New Roman (Corpo CS)"/>
          <w:color w:val="000000" w:themeColor="text1"/>
          <w:spacing w:val="-4"/>
        </w:rPr>
        <w:t>, par. 330.</w:t>
      </w:r>
    </w:p>
  </w:footnote>
  <w:footnote w:id="74">
    <w:p w14:paraId="0981815C" w14:textId="4ADA85F5" w:rsidR="006B1761" w:rsidRPr="000D593D" w:rsidRDefault="006B1761" w:rsidP="00B67169">
      <w:pPr>
        <w:pStyle w:val="Testonotaapidipagina"/>
        <w:jc w:val="both"/>
        <w:rPr>
          <w:rFonts w:ascii="Garamond" w:hAnsi="Garamond" w:cs="Times New Roman (Corpo CS)"/>
          <w:color w:val="000000" w:themeColor="text1"/>
          <w:spacing w:val="-10"/>
          <w:w w:val="95"/>
        </w:rPr>
      </w:pPr>
      <w:r w:rsidRPr="000D593D">
        <w:rPr>
          <w:rStyle w:val="Rimandonotaapidipagina"/>
          <w:rFonts w:ascii="Garamond" w:hAnsi="Garamond" w:cs="Times New Roman (Corpo CS)"/>
          <w:color w:val="000000" w:themeColor="text1"/>
          <w:spacing w:val="-10"/>
          <w:w w:val="95"/>
        </w:rPr>
        <w:footnoteRef/>
      </w:r>
      <w:r w:rsidRPr="000D593D">
        <w:rPr>
          <w:rFonts w:ascii="Garamond" w:hAnsi="Garamond" w:cs="Times New Roman (Corpo CS)"/>
          <w:color w:val="000000" w:themeColor="text1"/>
          <w:spacing w:val="-10"/>
          <w:w w:val="95"/>
        </w:rPr>
        <w:t xml:space="preserve"> In Italia, ad esempio, il nuovo esecutivo, con decreto-legge 31 ottobre 2022, n. 162, ha anticipato la naturale scadenza, inizialmente prevista in data 31 dicembre 2022 (dalla legge 28 maggio 2021, n. 76), dell’obbligo di vaccinazione per il personale sanitario all’1°</w:t>
      </w:r>
      <w:r w:rsidR="00F77E30" w:rsidRPr="000D593D">
        <w:rPr>
          <w:rFonts w:ascii="Garamond" w:hAnsi="Garamond" w:cs="Times New Roman (Corpo CS)"/>
          <w:color w:val="000000" w:themeColor="text1"/>
          <w:spacing w:val="-10"/>
          <w:w w:val="95"/>
        </w:rPr>
        <w:t xml:space="preserve"> </w:t>
      </w:r>
      <w:r w:rsidRPr="000D593D">
        <w:rPr>
          <w:rFonts w:ascii="Garamond" w:hAnsi="Garamond" w:cs="Times New Roman (Corpo CS)"/>
          <w:color w:val="000000" w:themeColor="text1"/>
          <w:spacing w:val="-10"/>
          <w:w w:val="95"/>
        </w:rPr>
        <w:t>novembre, in considerazione del miglioramento del quadro epidemiologico e dell’abbassamento del livello dei sintomi a livello nazionale (</w:t>
      </w:r>
      <w:r w:rsidRPr="000D593D">
        <w:rPr>
          <w:rFonts w:ascii="Garamond" w:hAnsi="Garamond" w:cs="Times New Roman (Corpo CS)"/>
          <w:i/>
          <w:color w:val="000000" w:themeColor="text1"/>
          <w:spacing w:val="-10"/>
          <w:w w:val="95"/>
        </w:rPr>
        <w:t>GU</w:t>
      </w:r>
      <w:r w:rsidRPr="000D593D">
        <w:rPr>
          <w:rFonts w:ascii="Garamond" w:hAnsi="Garamond" w:cs="Times New Roman (Corpo CS)"/>
          <w:color w:val="000000" w:themeColor="text1"/>
          <w:spacing w:val="-10"/>
          <w:w w:val="95"/>
        </w:rPr>
        <w:t xml:space="preserve"> n. 255 del 31-10-2022).</w:t>
      </w:r>
    </w:p>
  </w:footnote>
  <w:footnote w:id="75">
    <w:p w14:paraId="484C64E9" w14:textId="40E00355" w:rsidR="006B1761" w:rsidRPr="000D593D" w:rsidRDefault="006B1761" w:rsidP="00B67169">
      <w:pPr>
        <w:pStyle w:val="Testonotaapidipagina"/>
        <w:jc w:val="both"/>
        <w:rPr>
          <w:rFonts w:ascii="Garamond" w:hAnsi="Garamond" w:cs="Times New Roman (Corpo CS)"/>
          <w:color w:val="000000" w:themeColor="text1"/>
          <w:spacing w:val="-10"/>
          <w:w w:val="95"/>
        </w:rPr>
      </w:pPr>
      <w:r w:rsidRPr="000D593D">
        <w:rPr>
          <w:rStyle w:val="Rimandonotaapidipagina"/>
          <w:rFonts w:ascii="Garamond" w:hAnsi="Garamond" w:cs="Times New Roman (Corpo CS)"/>
          <w:color w:val="000000" w:themeColor="text1"/>
          <w:spacing w:val="-10"/>
          <w:w w:val="95"/>
        </w:rPr>
        <w:footnoteRef/>
      </w:r>
      <w:r w:rsidRPr="000D593D">
        <w:rPr>
          <w:rFonts w:ascii="Garamond" w:hAnsi="Garamond" w:cs="Times New Roman (Corpo CS)"/>
          <w:color w:val="000000" w:themeColor="text1"/>
          <w:spacing w:val="-10"/>
          <w:w w:val="95"/>
        </w:rPr>
        <w:t xml:space="preserve"> </w:t>
      </w:r>
      <w:r w:rsidRPr="000D593D">
        <w:rPr>
          <w:rFonts w:ascii="Garamond" w:hAnsi="Garamond" w:cs="Times New Roman (Corpo CS)"/>
          <w:smallCaps/>
          <w:color w:val="000000" w:themeColor="text1"/>
          <w:spacing w:val="-10"/>
          <w:w w:val="95"/>
        </w:rPr>
        <w:t>C. Bertolino</w:t>
      </w:r>
      <w:r w:rsidRPr="000D593D">
        <w:rPr>
          <w:rFonts w:ascii="Garamond" w:hAnsi="Garamond" w:cs="Times New Roman (Corpo CS)"/>
          <w:color w:val="000000" w:themeColor="text1"/>
          <w:spacing w:val="-10"/>
          <w:w w:val="95"/>
        </w:rPr>
        <w:t xml:space="preserve">, </w:t>
      </w:r>
      <w:r w:rsidRPr="000D593D">
        <w:rPr>
          <w:rFonts w:ascii="Garamond" w:hAnsi="Garamond" w:cs="Times New Roman (Corpo CS)"/>
          <w:i/>
          <w:color w:val="000000" w:themeColor="text1"/>
          <w:spacing w:val="-10"/>
          <w:w w:val="95"/>
        </w:rPr>
        <w:t>Vaccinazioni obbligatorie nei confronti di minori quale «misura necessaria in una società democratica». Pronuncia della Corte europea sul caso della Repubblica ceca. Riflessi possibili sulla campagna vaccinale contro il Covid-</w:t>
      </w:r>
      <w:proofErr w:type="gramStart"/>
      <w:r w:rsidRPr="000D593D">
        <w:rPr>
          <w:rFonts w:ascii="Garamond" w:hAnsi="Garamond" w:cs="Times New Roman (Corpo CS)"/>
          <w:i/>
          <w:color w:val="000000" w:themeColor="text1"/>
          <w:spacing w:val="-10"/>
          <w:w w:val="95"/>
        </w:rPr>
        <w:t>19?</w:t>
      </w:r>
      <w:r w:rsidRPr="000D593D">
        <w:rPr>
          <w:rFonts w:ascii="Garamond" w:hAnsi="Garamond" w:cs="Times New Roman (Corpo CS)"/>
          <w:color w:val="000000" w:themeColor="text1"/>
          <w:spacing w:val="-10"/>
          <w:w w:val="95"/>
        </w:rPr>
        <w:t>,</w:t>
      </w:r>
      <w:proofErr w:type="gramEnd"/>
      <w:r w:rsidRPr="000D593D">
        <w:rPr>
          <w:rFonts w:ascii="Garamond" w:hAnsi="Garamond" w:cs="Times New Roman (Corpo CS)"/>
          <w:color w:val="000000" w:themeColor="text1"/>
          <w:spacing w:val="-10"/>
          <w:w w:val="95"/>
        </w:rPr>
        <w:t xml:space="preserve"> in </w:t>
      </w:r>
      <w:r w:rsidRPr="000D593D">
        <w:rPr>
          <w:rFonts w:ascii="Garamond" w:hAnsi="Garamond" w:cs="Times New Roman (Corpo CS)"/>
          <w:i/>
          <w:color w:val="000000" w:themeColor="text1"/>
          <w:spacing w:val="-10"/>
          <w:w w:val="95"/>
        </w:rPr>
        <w:t>Diritti comparati</w:t>
      </w:r>
      <w:r w:rsidRPr="000D593D">
        <w:rPr>
          <w:rFonts w:ascii="Garamond" w:hAnsi="Garamond" w:cs="Times New Roman (Corpo CS)"/>
          <w:color w:val="000000" w:themeColor="text1"/>
          <w:spacing w:val="-10"/>
          <w:w w:val="95"/>
        </w:rPr>
        <w:t xml:space="preserve">, 29 aprile 2021, </w:t>
      </w:r>
      <w:r w:rsidRPr="000D593D">
        <w:rPr>
          <w:rFonts w:ascii="Garamond" w:hAnsi="Garamond" w:cs="Times New Roman (Corpo CS)"/>
          <w:spacing w:val="-10"/>
          <w:w w:val="95"/>
        </w:rPr>
        <w:t>https://www.diritticomparati.it/vaccinazioni-obbligatorie-nei-confronti-di-minori-quale-misura-necessaria-in-una-societa-democratica-pronuncia-della-corte-europea-sul-caso-della-repubblica-ceca-riflessi-possibili-sulla/</w:t>
      </w:r>
      <w:r w:rsidRPr="000D593D">
        <w:rPr>
          <w:rFonts w:ascii="Garamond" w:hAnsi="Garamond" w:cs="Times New Roman (Corpo CS)"/>
          <w:color w:val="000000" w:themeColor="text1"/>
          <w:spacing w:val="-10"/>
          <w:w w:val="95"/>
        </w:rPr>
        <w:t xml:space="preserve">. </w:t>
      </w:r>
    </w:p>
  </w:footnote>
  <w:footnote w:id="76">
    <w:p w14:paraId="35C82B37" w14:textId="2203A29B" w:rsidR="006B1761" w:rsidRPr="00B935F1" w:rsidRDefault="006B1761" w:rsidP="00B67169">
      <w:pPr>
        <w:pStyle w:val="Testonotaapidipagina"/>
        <w:jc w:val="both"/>
        <w:rPr>
          <w:rFonts w:ascii="Garamond" w:hAnsi="Garamond"/>
          <w:color w:val="000000" w:themeColor="text1"/>
        </w:rPr>
      </w:pPr>
      <w:r w:rsidRPr="000D593D">
        <w:rPr>
          <w:rStyle w:val="Rimandonotaapidipagina"/>
          <w:rFonts w:ascii="Garamond" w:hAnsi="Garamond" w:cs="Times New Roman (Corpo CS)"/>
          <w:color w:val="000000" w:themeColor="text1"/>
          <w:spacing w:val="-10"/>
          <w:w w:val="95"/>
        </w:rPr>
        <w:footnoteRef/>
      </w:r>
      <w:r w:rsidRPr="000D593D">
        <w:rPr>
          <w:rFonts w:ascii="Garamond" w:hAnsi="Garamond" w:cs="Times New Roman (Corpo CS)"/>
          <w:color w:val="000000" w:themeColor="text1"/>
          <w:spacing w:val="-10"/>
          <w:w w:val="95"/>
        </w:rPr>
        <w:t xml:space="preserve"> La stessa nel ribadire la legittimità dell’obbligo vaccinale nel caso </w:t>
      </w:r>
      <w:proofErr w:type="spellStart"/>
      <w:r w:rsidRPr="000D593D">
        <w:rPr>
          <w:rFonts w:ascii="Garamond" w:hAnsi="Garamond" w:cs="Times New Roman (Corpo CS)"/>
          <w:i/>
          <w:color w:val="000000" w:themeColor="text1"/>
          <w:spacing w:val="-10"/>
          <w:w w:val="95"/>
        </w:rPr>
        <w:t>Vavricka</w:t>
      </w:r>
      <w:proofErr w:type="spellEnd"/>
      <w:r w:rsidRPr="000D593D">
        <w:rPr>
          <w:rFonts w:ascii="Garamond" w:hAnsi="Garamond" w:cs="Times New Roman (Corpo CS)"/>
          <w:i/>
          <w:color w:val="000000" w:themeColor="text1"/>
          <w:spacing w:val="-10"/>
          <w:w w:val="95"/>
        </w:rPr>
        <w:t xml:space="preserve"> and Others v. The </w:t>
      </w:r>
      <w:proofErr w:type="spellStart"/>
      <w:r w:rsidRPr="000D593D">
        <w:rPr>
          <w:rFonts w:ascii="Garamond" w:hAnsi="Garamond" w:cs="Times New Roman (Corpo CS)"/>
          <w:i/>
          <w:color w:val="000000" w:themeColor="text1"/>
          <w:spacing w:val="-10"/>
          <w:w w:val="95"/>
        </w:rPr>
        <w:t>Czech</w:t>
      </w:r>
      <w:proofErr w:type="spellEnd"/>
      <w:r w:rsidRPr="000D593D">
        <w:rPr>
          <w:rFonts w:ascii="Garamond" w:hAnsi="Garamond" w:cs="Times New Roman (Corpo CS)"/>
          <w:i/>
          <w:color w:val="000000" w:themeColor="text1"/>
          <w:spacing w:val="-10"/>
          <w:w w:val="95"/>
        </w:rPr>
        <w:t xml:space="preserve"> Republic </w:t>
      </w:r>
      <w:r w:rsidRPr="000D593D">
        <w:rPr>
          <w:rFonts w:ascii="Garamond" w:hAnsi="Garamond" w:cs="Times New Roman (Corpo CS)"/>
          <w:color w:val="000000" w:themeColor="text1"/>
          <w:spacing w:val="-10"/>
          <w:w w:val="95"/>
        </w:rPr>
        <w:t>ha tenuto anche conto di altri parametri importanti, tra cui: le eccezioni previste dal legislatore per coloro che presentassero controindicazioni permanenti nei confronti della vaccinazione e il risarcimento del danno eventualmente derivante dalla somministrazione dei predetti vaccini a favore delle vittime.</w:t>
      </w:r>
      <w:r w:rsidRPr="00B935F1">
        <w:rPr>
          <w:rFonts w:ascii="Garamond" w:hAnsi="Garamond"/>
          <w:color w:val="000000" w:themeColor="text1"/>
        </w:rPr>
        <w:t xml:space="preserve"> </w:t>
      </w:r>
    </w:p>
  </w:footnote>
  <w:footnote w:id="77">
    <w:p w14:paraId="5B2EBE63" w14:textId="6A1F84A4" w:rsidR="006B1761" w:rsidRPr="000D593D" w:rsidRDefault="006B1761" w:rsidP="000D593D">
      <w:pPr>
        <w:pStyle w:val="Testonotaapidipagina"/>
        <w:widowControl w:val="0"/>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0D593D">
        <w:rPr>
          <w:rFonts w:ascii="Garamond" w:hAnsi="Garamond" w:cs="Times New Roman (Corpo CS)"/>
          <w:color w:val="000000" w:themeColor="text1"/>
          <w:spacing w:val="-8"/>
        </w:rPr>
        <w:t xml:space="preserve">Ai sensi dell’art. 39 del Regolamento della Corte europea dei diritti umani, quest’ultima (su istanza di parte o di altra persona interessata ovvero anche d’ufficio) può, infatti, concedere ai richiedenti misure provvisorie e urgenti, che ritenga necessarie «nell’interesse delle parti o del corretto svolgimento della procedura» al fine di evitare o comunque, prevenire un pregiudizio grave ed irreparabile ai diritti e alle libertà fondamentali dell’individuo. Com’è noto, l’adozione di tali misure all’interno di un processo pendente dinanzi alla Corte EDU non pregiudica in ogni caso «la successiva decisione sull’ammissibilità e sul merito del caso». </w:t>
      </w:r>
      <w:r w:rsidRPr="000D593D">
        <w:rPr>
          <w:rFonts w:ascii="Garamond" w:hAnsi="Garamond" w:cs="Times New Roman (Corpo CS)"/>
          <w:smallCaps/>
          <w:color w:val="000000" w:themeColor="text1"/>
          <w:spacing w:val="-8"/>
        </w:rPr>
        <w:t>M. Aversano</w:t>
      </w:r>
      <w:r w:rsidRPr="000D593D">
        <w:rPr>
          <w:rFonts w:ascii="Garamond" w:hAnsi="Garamond" w:cs="Times New Roman (Corpo CS)"/>
          <w:color w:val="000000" w:themeColor="text1"/>
          <w:spacing w:val="-8"/>
        </w:rPr>
        <w:t xml:space="preserve">, </w:t>
      </w:r>
      <w:r w:rsidRPr="000D593D">
        <w:rPr>
          <w:rFonts w:ascii="Garamond" w:hAnsi="Garamond" w:cs="Times New Roman (Corpo CS)"/>
          <w:i/>
          <w:color w:val="000000" w:themeColor="text1"/>
          <w:spacing w:val="-8"/>
        </w:rPr>
        <w:t>Tutela d’urgenza e ambito di intervento della Corte</w:t>
      </w:r>
      <w:r w:rsidRPr="000D593D">
        <w:rPr>
          <w:rFonts w:ascii="Garamond" w:hAnsi="Garamond" w:cs="Times New Roman (Corpo CS)"/>
          <w:color w:val="000000" w:themeColor="text1"/>
          <w:spacing w:val="-8"/>
        </w:rPr>
        <w:t xml:space="preserve">, in </w:t>
      </w:r>
      <w:r w:rsidRPr="000D593D">
        <w:rPr>
          <w:rFonts w:ascii="Garamond" w:hAnsi="Garamond" w:cs="Times New Roman (Corpo CS)"/>
          <w:i/>
          <w:color w:val="000000" w:themeColor="text1"/>
          <w:spacing w:val="-8"/>
        </w:rPr>
        <w:t xml:space="preserve">Questione Giustizia, </w:t>
      </w:r>
      <w:r w:rsidRPr="000D593D">
        <w:rPr>
          <w:rFonts w:ascii="Garamond" w:hAnsi="Garamond" w:cs="Times New Roman (Corpo CS)"/>
          <w:color w:val="000000" w:themeColor="text1"/>
          <w:spacing w:val="-8"/>
        </w:rPr>
        <w:t xml:space="preserve">2019. Quanto al rapporto con il processo di merito, si evidenzia che le misure </w:t>
      </w:r>
      <w:r w:rsidRPr="000D593D">
        <w:rPr>
          <w:rFonts w:ascii="Garamond" w:hAnsi="Garamond" w:cs="Times New Roman (Corpo CS)"/>
          <w:i/>
          <w:color w:val="000000" w:themeColor="text1"/>
          <w:spacing w:val="-8"/>
        </w:rPr>
        <w:t>ad interim</w:t>
      </w:r>
      <w:r w:rsidRPr="000D593D">
        <w:rPr>
          <w:rFonts w:ascii="Garamond" w:hAnsi="Garamond" w:cs="Times New Roman (Corpo CS)"/>
          <w:color w:val="000000" w:themeColor="text1"/>
          <w:spacing w:val="-8"/>
        </w:rPr>
        <w:t xml:space="preserve"> o cautelari possono essere domandate sia </w:t>
      </w:r>
      <w:r w:rsidRPr="000D593D">
        <w:rPr>
          <w:rFonts w:ascii="Garamond" w:hAnsi="Garamond" w:cs="Times New Roman (Corpo CS)"/>
          <w:i/>
          <w:color w:val="000000" w:themeColor="text1"/>
          <w:spacing w:val="-8"/>
        </w:rPr>
        <w:t xml:space="preserve">ante </w:t>
      </w:r>
      <w:proofErr w:type="spellStart"/>
      <w:r w:rsidRPr="000D593D">
        <w:rPr>
          <w:rFonts w:ascii="Garamond" w:hAnsi="Garamond" w:cs="Times New Roman (Corpo CS)"/>
          <w:i/>
          <w:color w:val="000000" w:themeColor="text1"/>
          <w:spacing w:val="-8"/>
        </w:rPr>
        <w:t>causam</w:t>
      </w:r>
      <w:proofErr w:type="spellEnd"/>
      <w:r w:rsidRPr="000D593D">
        <w:rPr>
          <w:rFonts w:ascii="Garamond" w:hAnsi="Garamond" w:cs="Times New Roman (Corpo CS)"/>
          <w:color w:val="000000" w:themeColor="text1"/>
          <w:spacing w:val="-8"/>
        </w:rPr>
        <w:t xml:space="preserve"> che nel corso del giudizio di merito. Più nel dettaglio, i giudici di Strasburgo possono appunto “indicare” allo Stato adito dal ricorrente, le misure necessarie ad evitare che, nelle more del giudizio, si produca un «</w:t>
      </w:r>
      <w:r w:rsidRPr="000D593D">
        <w:rPr>
          <w:rFonts w:ascii="Garamond" w:hAnsi="Garamond" w:cs="Times New Roman (Corpo CS)"/>
          <w:i/>
          <w:color w:val="000000" w:themeColor="text1"/>
          <w:spacing w:val="-8"/>
        </w:rPr>
        <w:t xml:space="preserve">risk of </w:t>
      </w:r>
      <w:proofErr w:type="spellStart"/>
      <w:r w:rsidRPr="000D593D">
        <w:rPr>
          <w:rFonts w:ascii="Garamond" w:hAnsi="Garamond" w:cs="Times New Roman (Corpo CS)"/>
          <w:i/>
          <w:color w:val="000000" w:themeColor="text1"/>
          <w:spacing w:val="-8"/>
        </w:rPr>
        <w:t>irreparable</w:t>
      </w:r>
      <w:proofErr w:type="spellEnd"/>
      <w:r w:rsidRPr="000D593D">
        <w:rPr>
          <w:rFonts w:ascii="Garamond" w:hAnsi="Garamond" w:cs="Times New Roman (Corpo CS)"/>
          <w:i/>
          <w:color w:val="000000" w:themeColor="text1"/>
          <w:spacing w:val="-8"/>
        </w:rPr>
        <w:t xml:space="preserve"> </w:t>
      </w:r>
      <w:proofErr w:type="spellStart"/>
      <w:r w:rsidRPr="000D593D">
        <w:rPr>
          <w:rFonts w:ascii="Garamond" w:hAnsi="Garamond" w:cs="Times New Roman (Corpo CS)"/>
          <w:i/>
          <w:color w:val="000000" w:themeColor="text1"/>
          <w:spacing w:val="-8"/>
        </w:rPr>
        <w:t>damage</w:t>
      </w:r>
      <w:proofErr w:type="spellEnd"/>
      <w:r w:rsidRPr="000D593D">
        <w:rPr>
          <w:rFonts w:ascii="Garamond" w:hAnsi="Garamond" w:cs="Times New Roman (Corpo CS)"/>
          <w:color w:val="000000" w:themeColor="text1"/>
          <w:spacing w:val="-8"/>
        </w:rPr>
        <w:t xml:space="preserve">» al diritto dell’individuo, concedendo, appunto, provvedimenti provvisori atti ad impedire che tale fondato pericolo </w:t>
      </w:r>
      <w:r w:rsidRPr="000D593D">
        <w:rPr>
          <w:rFonts w:ascii="Garamond" w:hAnsi="Garamond" w:cs="Times New Roman (Corpo CS)"/>
          <w:i/>
          <w:color w:val="000000" w:themeColor="text1"/>
          <w:spacing w:val="-8"/>
        </w:rPr>
        <w:t>in fieri</w:t>
      </w:r>
      <w:r w:rsidRPr="000D593D">
        <w:rPr>
          <w:rFonts w:ascii="Garamond" w:hAnsi="Garamond" w:cs="Times New Roman (Corpo CS)"/>
          <w:color w:val="000000" w:themeColor="text1"/>
          <w:spacing w:val="-8"/>
        </w:rPr>
        <w:t xml:space="preserve"> si possa tramutare in una lesione di un diritto fondamentale garantito dalla CEDU (</w:t>
      </w:r>
      <w:proofErr w:type="spellStart"/>
      <w:r w:rsidRPr="000D593D">
        <w:rPr>
          <w:rFonts w:ascii="Garamond" w:hAnsi="Garamond" w:cs="Times New Roman (Corpo CS)"/>
          <w:i/>
          <w:color w:val="000000" w:themeColor="text1"/>
          <w:spacing w:val="-8"/>
        </w:rPr>
        <w:t>Judgment</w:t>
      </w:r>
      <w:proofErr w:type="spellEnd"/>
      <w:r w:rsidRPr="000D593D">
        <w:rPr>
          <w:rFonts w:ascii="Garamond" w:hAnsi="Garamond" w:cs="Times New Roman (Corpo CS)"/>
          <w:i/>
          <w:color w:val="000000" w:themeColor="text1"/>
          <w:spacing w:val="-8"/>
        </w:rPr>
        <w:t xml:space="preserve"> of the </w:t>
      </w:r>
      <w:proofErr w:type="spellStart"/>
      <w:r w:rsidRPr="000D593D">
        <w:rPr>
          <w:rFonts w:ascii="Garamond" w:hAnsi="Garamond" w:cs="Times New Roman (Corpo CS)"/>
          <w:i/>
          <w:color w:val="000000" w:themeColor="text1"/>
          <w:spacing w:val="-8"/>
        </w:rPr>
        <w:t>European</w:t>
      </w:r>
      <w:proofErr w:type="spellEnd"/>
      <w:r w:rsidRPr="000D593D">
        <w:rPr>
          <w:rFonts w:ascii="Garamond" w:hAnsi="Garamond" w:cs="Times New Roman (Corpo CS)"/>
          <w:i/>
          <w:color w:val="000000" w:themeColor="text1"/>
          <w:spacing w:val="-8"/>
        </w:rPr>
        <w:t xml:space="preserve"> Court of Human </w:t>
      </w:r>
      <w:proofErr w:type="spellStart"/>
      <w:r w:rsidRPr="000D593D">
        <w:rPr>
          <w:rFonts w:ascii="Garamond" w:hAnsi="Garamond" w:cs="Times New Roman (Corpo CS)"/>
          <w:i/>
          <w:color w:val="000000" w:themeColor="text1"/>
          <w:spacing w:val="-8"/>
        </w:rPr>
        <w:t>Rights</w:t>
      </w:r>
      <w:proofErr w:type="spellEnd"/>
      <w:r w:rsidRPr="000D593D">
        <w:rPr>
          <w:rFonts w:ascii="Garamond" w:hAnsi="Garamond" w:cs="Times New Roman (Corpo CS)"/>
          <w:i/>
          <w:color w:val="000000" w:themeColor="text1"/>
          <w:spacing w:val="-8"/>
        </w:rPr>
        <w:t xml:space="preserve"> of 4 </w:t>
      </w:r>
      <w:proofErr w:type="spellStart"/>
      <w:r w:rsidRPr="000D593D">
        <w:rPr>
          <w:rFonts w:ascii="Garamond" w:hAnsi="Garamond" w:cs="Times New Roman (Corpo CS)"/>
          <w:i/>
          <w:color w:val="000000" w:themeColor="text1"/>
          <w:spacing w:val="-8"/>
        </w:rPr>
        <w:t>february</w:t>
      </w:r>
      <w:proofErr w:type="spellEnd"/>
      <w:r w:rsidRPr="000D593D">
        <w:rPr>
          <w:rFonts w:ascii="Garamond" w:hAnsi="Garamond" w:cs="Times New Roman (Corpo CS)"/>
          <w:i/>
          <w:color w:val="000000" w:themeColor="text1"/>
          <w:spacing w:val="-8"/>
        </w:rPr>
        <w:t xml:space="preserve"> 2005, </w:t>
      </w:r>
      <w:proofErr w:type="spellStart"/>
      <w:r w:rsidRPr="000D593D">
        <w:rPr>
          <w:rFonts w:ascii="Garamond" w:hAnsi="Garamond" w:cs="Times New Roman (Corpo CS)"/>
          <w:i/>
          <w:color w:val="000000" w:themeColor="text1"/>
          <w:spacing w:val="-8"/>
        </w:rPr>
        <w:t>application</w:t>
      </w:r>
      <w:proofErr w:type="spellEnd"/>
      <w:r w:rsidRPr="000D593D">
        <w:rPr>
          <w:rFonts w:ascii="Garamond" w:hAnsi="Garamond" w:cs="Times New Roman (Corpo CS)"/>
          <w:i/>
          <w:color w:val="000000" w:themeColor="text1"/>
          <w:spacing w:val="-8"/>
        </w:rPr>
        <w:t xml:space="preserve"> no. </w:t>
      </w:r>
      <w:hyperlink r:id="rId26" w:anchor="{%22appno%22:[%2246827/99%22]}" w:tgtFrame="_blank" w:history="1">
        <w:r w:rsidRPr="000D593D">
          <w:rPr>
            <w:rStyle w:val="Collegamentoipertestuale"/>
            <w:rFonts w:ascii="Garamond" w:hAnsi="Garamond" w:cs="Times New Roman (Corpo CS)"/>
            <w:i/>
            <w:color w:val="000000" w:themeColor="text1"/>
            <w:spacing w:val="-8"/>
            <w:u w:val="none"/>
          </w:rPr>
          <w:t>46827/99</w:t>
        </w:r>
      </w:hyperlink>
      <w:r w:rsidRPr="000D593D">
        <w:rPr>
          <w:rFonts w:ascii="Garamond" w:hAnsi="Garamond" w:cs="Times New Roman (Corpo CS)"/>
          <w:i/>
          <w:color w:val="000000" w:themeColor="text1"/>
          <w:spacing w:val="-8"/>
        </w:rPr>
        <w:t xml:space="preserve">, </w:t>
      </w:r>
      <w:proofErr w:type="spellStart"/>
      <w:r w:rsidRPr="000D593D">
        <w:rPr>
          <w:rFonts w:ascii="Garamond" w:hAnsi="Garamond" w:cs="Times New Roman (Corpo CS)"/>
          <w:i/>
          <w:iCs/>
          <w:color w:val="000000" w:themeColor="text1"/>
          <w:spacing w:val="-8"/>
        </w:rPr>
        <w:t>Mamatkulov</w:t>
      </w:r>
      <w:proofErr w:type="spellEnd"/>
      <w:r w:rsidRPr="000D593D">
        <w:rPr>
          <w:rFonts w:ascii="Garamond" w:hAnsi="Garamond" w:cs="Times New Roman (Corpo CS)"/>
          <w:i/>
          <w:iCs/>
          <w:color w:val="000000" w:themeColor="text1"/>
          <w:spacing w:val="-8"/>
        </w:rPr>
        <w:t> and </w:t>
      </w:r>
      <w:proofErr w:type="spellStart"/>
      <w:r w:rsidRPr="000D593D">
        <w:rPr>
          <w:rFonts w:ascii="Garamond" w:hAnsi="Garamond" w:cs="Times New Roman (Corpo CS)"/>
          <w:i/>
          <w:iCs/>
          <w:color w:val="000000" w:themeColor="text1"/>
          <w:spacing w:val="-8"/>
        </w:rPr>
        <w:t>Askarov</w:t>
      </w:r>
      <w:proofErr w:type="spellEnd"/>
      <w:r w:rsidRPr="000D593D">
        <w:rPr>
          <w:rFonts w:ascii="Garamond" w:hAnsi="Garamond" w:cs="Times New Roman (Corpo CS)"/>
          <w:i/>
          <w:iCs/>
          <w:color w:val="000000" w:themeColor="text1"/>
          <w:spacing w:val="-8"/>
        </w:rPr>
        <w:t> v.</w:t>
      </w:r>
      <w:r w:rsidR="004B5C3A" w:rsidRPr="000D593D">
        <w:rPr>
          <w:rFonts w:ascii="Garamond" w:hAnsi="Garamond" w:cs="Times New Roman (Corpo CS)"/>
          <w:i/>
          <w:iCs/>
          <w:color w:val="000000" w:themeColor="text1"/>
          <w:spacing w:val="-8"/>
        </w:rPr>
        <w:t xml:space="preserve"> </w:t>
      </w:r>
      <w:proofErr w:type="spellStart"/>
      <w:r w:rsidRPr="000D593D">
        <w:rPr>
          <w:rFonts w:ascii="Garamond" w:hAnsi="Garamond" w:cs="Times New Roman (Corpo CS)"/>
          <w:i/>
          <w:iCs/>
          <w:color w:val="000000" w:themeColor="text1"/>
          <w:spacing w:val="-8"/>
        </w:rPr>
        <w:t>Turkey</w:t>
      </w:r>
      <w:proofErr w:type="spellEnd"/>
      <w:r w:rsidRPr="000D593D">
        <w:rPr>
          <w:rFonts w:ascii="Garamond" w:hAnsi="Garamond" w:cs="Times New Roman (Corpo CS)"/>
          <w:color w:val="000000" w:themeColor="text1"/>
          <w:spacing w:val="-8"/>
        </w:rPr>
        <w:t xml:space="preserve">). Come evidenzia la prassi, i diritti per i quali è stata domandata una misura cautelare sono rappresentati dagli artt. 2, 3, e 8 della Convenzione. Affinché siano concesse tali misure il ricorrente, infatti, dovrà dimostrare la sussistenza dei due requisiti; (oltre il previo esaurimento dei ricorsi interni) da un lato, del </w:t>
      </w:r>
      <w:r w:rsidRPr="000D593D">
        <w:rPr>
          <w:rFonts w:ascii="Garamond" w:hAnsi="Garamond" w:cs="Times New Roman (Corpo CS)"/>
          <w:i/>
          <w:color w:val="000000" w:themeColor="text1"/>
          <w:spacing w:val="-8"/>
        </w:rPr>
        <w:t>fumus boni iuris</w:t>
      </w:r>
      <w:r w:rsidRPr="000D593D">
        <w:rPr>
          <w:rFonts w:ascii="Garamond" w:hAnsi="Garamond" w:cs="Times New Roman (Corpo CS)"/>
          <w:color w:val="000000" w:themeColor="text1"/>
          <w:spacing w:val="-8"/>
        </w:rPr>
        <w:t xml:space="preserve">, che si sostanzia nella probabile esistenza del suo diritto in relazione alla fattispecie concreta e, dall’altro, il </w:t>
      </w:r>
      <w:r w:rsidRPr="000D593D">
        <w:rPr>
          <w:rFonts w:ascii="Garamond" w:hAnsi="Garamond" w:cs="Times New Roman (Corpo CS)"/>
          <w:i/>
          <w:color w:val="000000" w:themeColor="text1"/>
          <w:spacing w:val="-8"/>
        </w:rPr>
        <w:t>periculum in mora</w:t>
      </w:r>
      <w:r w:rsidRPr="000D593D">
        <w:rPr>
          <w:rFonts w:ascii="Garamond" w:hAnsi="Garamond" w:cs="Times New Roman (Corpo CS)"/>
          <w:color w:val="000000" w:themeColor="text1"/>
          <w:spacing w:val="-8"/>
        </w:rPr>
        <w:t xml:space="preserve">, ossia il fondato timore in base al quale, nelle more del processo di merito, il diritto del ricorrente potrebbe essere definitivamente pregiudicato. Una delle caratteristiche più importanti delle misure provvisorie è che le stesse vengono accordate dalla Corte in base ad una valutazione istruttoria incompleta o allo stato degli atti con riferimento ai diritti dedotti in giudizio. Circa il contenuto della misura, è pacifico che i provvedimenti provvisori possano consistere tanto in obblighi negativi (o di astensione), (come affermato nella Sentenza della Corte europea dei diritti umani dell’8 aprile 2015, ricorso n. 49341/10, </w:t>
      </w:r>
      <w:r w:rsidRPr="000D593D">
        <w:rPr>
          <w:rFonts w:ascii="Garamond" w:hAnsi="Garamond" w:cs="Times New Roman (Corpo CS)"/>
          <w:i/>
          <w:color w:val="000000" w:themeColor="text1"/>
          <w:spacing w:val="-8"/>
        </w:rPr>
        <w:t>W. H</w:t>
      </w:r>
      <w:r w:rsidRPr="000D593D">
        <w:rPr>
          <w:rFonts w:ascii="Garamond" w:hAnsi="Garamond" w:cs="Times New Roman (Corpo CS)"/>
          <w:color w:val="000000" w:themeColor="text1"/>
          <w:spacing w:val="-8"/>
        </w:rPr>
        <w:t xml:space="preserve">. c. </w:t>
      </w:r>
      <w:r w:rsidRPr="000D593D">
        <w:rPr>
          <w:rFonts w:ascii="Garamond" w:hAnsi="Garamond" w:cs="Times New Roman (Corpo CS)"/>
          <w:i/>
          <w:color w:val="000000" w:themeColor="text1"/>
          <w:spacing w:val="-8"/>
        </w:rPr>
        <w:t>Svezia</w:t>
      </w:r>
      <w:r w:rsidRPr="000D593D">
        <w:rPr>
          <w:rFonts w:ascii="Garamond" w:hAnsi="Garamond" w:cs="Times New Roman (Corpo CS)"/>
          <w:color w:val="000000" w:themeColor="text1"/>
          <w:spacing w:val="-8"/>
        </w:rPr>
        <w:t xml:space="preserve">, in cui si chiedeva allo stato svedese di non espellere il ricorrente verso l’Iraq, laddove sarebbe stato probabilmente sottoposto a tortura o altri atti inumani e degradanti, per via della sua fede cattolica, in violazione degli artt. 2 e 3 Carta) quanto positivi, (come, ad esempio, nella famosa </w:t>
      </w:r>
      <w:r w:rsidR="00EC6134" w:rsidRPr="000D593D">
        <w:rPr>
          <w:rFonts w:ascii="Garamond" w:hAnsi="Garamond" w:cs="Times New Roman (Corpo CS)"/>
          <w:color w:val="000000" w:themeColor="text1"/>
          <w:spacing w:val="-8"/>
        </w:rPr>
        <w:t>s</w:t>
      </w:r>
      <w:r w:rsidRPr="000D593D">
        <w:rPr>
          <w:rFonts w:ascii="Garamond" w:hAnsi="Garamond" w:cs="Times New Roman (Corpo CS)"/>
          <w:color w:val="000000" w:themeColor="text1"/>
          <w:spacing w:val="-8"/>
        </w:rPr>
        <w:t xml:space="preserve">entenza della Corte europea del 28 febbraio 2008, ricorso n. 37201/06, </w:t>
      </w:r>
      <w:r w:rsidRPr="000D593D">
        <w:rPr>
          <w:rFonts w:ascii="Garamond" w:hAnsi="Garamond" w:cs="Times New Roman (Corpo CS)"/>
          <w:i/>
          <w:color w:val="000000" w:themeColor="text1"/>
          <w:spacing w:val="-8"/>
        </w:rPr>
        <w:t>Saadi</w:t>
      </w:r>
      <w:r w:rsidRPr="000D593D">
        <w:rPr>
          <w:rFonts w:ascii="Garamond" w:hAnsi="Garamond" w:cs="Times New Roman (Corpo CS)"/>
          <w:color w:val="000000" w:themeColor="text1"/>
          <w:spacing w:val="-8"/>
        </w:rPr>
        <w:t xml:space="preserve"> c. </w:t>
      </w:r>
      <w:r w:rsidRPr="000D593D">
        <w:rPr>
          <w:rFonts w:ascii="Garamond" w:hAnsi="Garamond" w:cs="Times New Roman (Corpo CS)"/>
          <w:i/>
          <w:color w:val="000000" w:themeColor="text1"/>
          <w:spacing w:val="-8"/>
        </w:rPr>
        <w:t>Italia</w:t>
      </w:r>
      <w:r w:rsidRPr="000D593D">
        <w:rPr>
          <w:rFonts w:ascii="Garamond" w:hAnsi="Garamond" w:cs="Times New Roman (Corpo CS)"/>
          <w:color w:val="000000" w:themeColor="text1"/>
          <w:spacing w:val="-8"/>
        </w:rPr>
        <w:t xml:space="preserve">, in cui la Corte aveva ordinato allo stato italiano convenuto di disporre la sospensione del provvedimento di espulsione di un cittadino tunisino - condannato sia in Italia, per associazione a delinquere, che in Tunisia per terrorismo - in ragione del fatto che nel paese di origine tale cittadino avrebbe probabilmente subito persecuzioni politiche e religiose e trattamenti inumani e degradanti in violazione dell’art. 3 CEDU). Più incerti, invece, appaiono i profili legati alla durata delle predette misure, nonché alla stabilità del giudicato di tali provvedimenti.  </w:t>
      </w:r>
      <w:r w:rsidRPr="000D593D">
        <w:rPr>
          <w:rFonts w:ascii="Garamond" w:hAnsi="Garamond" w:cs="Times New Roman (Corpo CS)"/>
          <w:i/>
          <w:color w:val="000000" w:themeColor="text1"/>
          <w:spacing w:val="-8"/>
          <w:lang w:val="en-US"/>
        </w:rPr>
        <w:t>ECHR</w:t>
      </w:r>
      <w:r w:rsidRPr="000D593D">
        <w:rPr>
          <w:rFonts w:ascii="Garamond" w:hAnsi="Garamond" w:cs="Times New Roman (Corpo CS)"/>
          <w:color w:val="000000" w:themeColor="text1"/>
          <w:spacing w:val="-8"/>
          <w:lang w:val="en-US"/>
        </w:rPr>
        <w:t xml:space="preserve">, </w:t>
      </w:r>
      <w:r w:rsidRPr="000D593D">
        <w:rPr>
          <w:rFonts w:ascii="Garamond" w:hAnsi="Garamond" w:cs="Times New Roman (Corpo CS)"/>
          <w:i/>
          <w:color w:val="000000" w:themeColor="text1"/>
          <w:spacing w:val="-8"/>
          <w:lang w:val="en-US"/>
        </w:rPr>
        <w:t>Requests for interim measures</w:t>
      </w:r>
      <w:r w:rsidRPr="000D593D">
        <w:rPr>
          <w:rFonts w:ascii="Garamond" w:hAnsi="Garamond" w:cs="Times New Roman (Corpo CS)"/>
          <w:color w:val="000000" w:themeColor="text1"/>
          <w:spacing w:val="-8"/>
          <w:lang w:val="en-US"/>
        </w:rPr>
        <w:t>,</w:t>
      </w:r>
      <w:r w:rsidRPr="000D593D">
        <w:rPr>
          <w:rFonts w:ascii="Garamond" w:hAnsi="Garamond" w:cs="Times New Roman (Corpo CS)"/>
          <w:i/>
          <w:color w:val="000000" w:themeColor="text1"/>
          <w:spacing w:val="-8"/>
          <w:lang w:val="en-US"/>
        </w:rPr>
        <w:t xml:space="preserve"> </w:t>
      </w:r>
      <w:hyperlink r:id="rId27" w:history="1">
        <w:r w:rsidRPr="000D593D">
          <w:rPr>
            <w:rStyle w:val="Collegamentoipertestuale"/>
            <w:rFonts w:ascii="Garamond" w:hAnsi="Garamond" w:cs="Times New Roman (Corpo CS)"/>
            <w:color w:val="000000" w:themeColor="text1"/>
            <w:spacing w:val="-8"/>
            <w:u w:val="none"/>
            <w:lang w:val="en-US"/>
          </w:rPr>
          <w:t>www.echr.coe.int/Documents/PD_interim_measures_ENG.pdf</w:t>
        </w:r>
      </w:hyperlink>
      <w:r w:rsidR="000D593D" w:rsidRPr="000D593D">
        <w:rPr>
          <w:rStyle w:val="Collegamentoipertestuale"/>
          <w:rFonts w:ascii="Garamond" w:hAnsi="Garamond" w:cs="Times New Roman (Corpo CS)"/>
          <w:color w:val="000000" w:themeColor="text1"/>
          <w:spacing w:val="-8"/>
          <w:u w:val="none"/>
          <w:lang w:val="en-US"/>
        </w:rPr>
        <w:t>.</w:t>
      </w:r>
    </w:p>
  </w:footnote>
  <w:footnote w:id="78">
    <w:p w14:paraId="2B4ABAE7" w14:textId="20308E50" w:rsidR="006B1761" w:rsidRPr="0015610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cs="Times New Roman"/>
          <w:color w:val="000000" w:themeColor="text1"/>
        </w:rPr>
        <w:t>Nel caso in esame, la</w:t>
      </w:r>
      <w:r w:rsidRPr="00B935F1">
        <w:rPr>
          <w:rFonts w:ascii="Garamond" w:eastAsia="Calibri" w:hAnsi="Garamond" w:cs="Times New Roman"/>
          <w:noProof/>
          <w:color w:val="000000" w:themeColor="text1"/>
        </w:rPr>
        <w:t xml:space="preserve"> Corte </w:t>
      </w:r>
      <w:r w:rsidR="00EC6134">
        <w:rPr>
          <w:rFonts w:ascii="Garamond" w:eastAsia="Calibri" w:hAnsi="Garamond" w:cs="Times New Roman"/>
          <w:noProof/>
          <w:color w:val="000000" w:themeColor="text1"/>
        </w:rPr>
        <w:t>e</w:t>
      </w:r>
      <w:r w:rsidRPr="00B935F1">
        <w:rPr>
          <w:rFonts w:ascii="Garamond" w:eastAsia="Calibri" w:hAnsi="Garamond" w:cs="Times New Roman"/>
          <w:noProof/>
          <w:color w:val="000000" w:themeColor="text1"/>
        </w:rPr>
        <w:t xml:space="preserve">uropea dei diritti umani ha rigettato la domanda di sospensione dall’obbligo di vaccinazione proposta da 672 vigili del fuoco francesi, i quali avevano domandato in via principale la predetta misura cautelare ed in subordine di sospendere le disposizioni che impediscono di esercitare l’attività lavorativa al personale non vaccinato, facendo leva sul diritto alla vita </w:t>
      </w:r>
      <w:r w:rsidRPr="00B935F1">
        <w:rPr>
          <w:rFonts w:ascii="Garamond" w:eastAsia="Calibri" w:hAnsi="Garamond" w:cs="Times New Roman"/>
          <w:i/>
          <w:noProof/>
          <w:color w:val="000000" w:themeColor="text1"/>
        </w:rPr>
        <w:t>ex</w:t>
      </w:r>
      <w:r w:rsidRPr="00B935F1">
        <w:rPr>
          <w:rFonts w:ascii="Garamond" w:eastAsia="Calibri" w:hAnsi="Garamond" w:cs="Times New Roman"/>
          <w:noProof/>
          <w:color w:val="000000" w:themeColor="text1"/>
        </w:rPr>
        <w:t xml:space="preserve"> art. 2 CEDU e sul diritto alla protezione della vita privata e familiare </w:t>
      </w:r>
      <w:r w:rsidRPr="00B935F1">
        <w:rPr>
          <w:rFonts w:ascii="Garamond" w:eastAsia="Calibri" w:hAnsi="Garamond" w:cs="Times New Roman"/>
          <w:i/>
          <w:noProof/>
          <w:color w:val="000000" w:themeColor="text1"/>
        </w:rPr>
        <w:t>ex</w:t>
      </w:r>
      <w:r w:rsidRPr="00B935F1">
        <w:rPr>
          <w:rFonts w:ascii="Garamond" w:eastAsia="Calibri" w:hAnsi="Garamond" w:cs="Times New Roman"/>
          <w:noProof/>
          <w:color w:val="000000" w:themeColor="text1"/>
        </w:rPr>
        <w:t xml:space="preserve"> art. 8 CEDU. I giudici di Strasburgo non hanno accolto le domande, ritenute carenti del requisito del </w:t>
      </w:r>
      <w:r w:rsidRPr="00B935F1">
        <w:rPr>
          <w:rFonts w:ascii="Garamond" w:eastAsia="Calibri" w:hAnsi="Garamond" w:cs="Times New Roman"/>
          <w:i/>
          <w:noProof/>
          <w:color w:val="000000" w:themeColor="text1"/>
        </w:rPr>
        <w:t>fumus</w:t>
      </w:r>
      <w:r w:rsidRPr="00B935F1">
        <w:rPr>
          <w:rFonts w:ascii="Garamond" w:eastAsia="Calibri" w:hAnsi="Garamond" w:cs="Times New Roman"/>
          <w:noProof/>
          <w:color w:val="000000" w:themeColor="text1"/>
        </w:rPr>
        <w:t xml:space="preserve">, constatando che i lavoratori non sarebbero stati esposti ad alcun rischio reale di pregiudizio grave e irreparabile in caso di vaccinazione (che è il presupposto per concedere misure cautelari), giungendo così a statuire che le misure richieste dai 672 lavoratori non rientrassero nell’ambito di applicazione dell’art. 39 del Regolamento della Corte (misure provvisorie). </w:t>
      </w:r>
      <w:r w:rsidRPr="00156101">
        <w:rPr>
          <w:rFonts w:ascii="Garamond" w:eastAsia="Calibri" w:hAnsi="Garamond" w:cs="Times New Roman"/>
          <w:noProof/>
          <w:color w:val="000000" w:themeColor="text1"/>
          <w:lang w:val="en-US"/>
        </w:rPr>
        <w:t>Decision of the European Court of Human Rights of 24 august 2021, application no. 41590/2021,</w:t>
      </w:r>
      <w:r w:rsidRPr="00156101">
        <w:rPr>
          <w:rFonts w:ascii="Garamond" w:eastAsia="Calibri" w:hAnsi="Garamond" w:cs="Times New Roman"/>
          <w:i/>
          <w:noProof/>
          <w:color w:val="000000" w:themeColor="text1"/>
          <w:lang w:val="en-US"/>
        </w:rPr>
        <w:t xml:space="preserve"> Abgrall and 672 others v. France</w:t>
      </w:r>
      <w:r w:rsidRPr="00156101">
        <w:rPr>
          <w:rFonts w:ascii="Garamond" w:eastAsia="Calibri" w:hAnsi="Garamond" w:cs="Times New Roman"/>
          <w:noProof/>
          <w:color w:val="000000" w:themeColor="text1"/>
          <w:lang w:val="en-US"/>
        </w:rPr>
        <w:t>.</w:t>
      </w:r>
    </w:p>
  </w:footnote>
  <w:footnote w:id="79">
    <w:p w14:paraId="6CF0E8B6" w14:textId="6EB856F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Più precisamente, i termini adoperati dal ricorrente ed estratti da un suo video sono «</w:t>
      </w:r>
      <w:proofErr w:type="spellStart"/>
      <w:r w:rsidRPr="00B935F1">
        <w:rPr>
          <w:rFonts w:ascii="Garamond" w:hAnsi="Garamond"/>
          <w:i/>
          <w:color w:val="000000" w:themeColor="text1"/>
        </w:rPr>
        <w:t>embouteillage</w:t>
      </w:r>
      <w:proofErr w:type="spellEnd"/>
      <w:r w:rsidRPr="00B935F1">
        <w:rPr>
          <w:rFonts w:ascii="Garamond" w:hAnsi="Garamond"/>
          <w:i/>
          <w:color w:val="000000" w:themeColor="text1"/>
        </w:rPr>
        <w:t>, l’</w:t>
      </w:r>
      <w:proofErr w:type="spellStart"/>
      <w:r w:rsidRPr="00B935F1">
        <w:rPr>
          <w:rFonts w:ascii="Garamond" w:hAnsi="Garamond"/>
          <w:i/>
          <w:color w:val="000000" w:themeColor="text1"/>
        </w:rPr>
        <w:t>engorgement</w:t>
      </w:r>
      <w:proofErr w:type="spellEnd"/>
      <w:r w:rsidRPr="00B935F1">
        <w:rPr>
          <w:rFonts w:ascii="Garamond" w:hAnsi="Garamond"/>
          <w:i/>
          <w:color w:val="000000" w:themeColor="text1"/>
        </w:rPr>
        <w:t>, l’</w:t>
      </w:r>
      <w:proofErr w:type="spellStart"/>
      <w:r w:rsidRPr="00B935F1">
        <w:rPr>
          <w:rFonts w:ascii="Garamond" w:hAnsi="Garamond"/>
          <w:i/>
          <w:color w:val="000000" w:themeColor="text1"/>
        </w:rPr>
        <w:t>inondation</w:t>
      </w:r>
      <w:proofErr w:type="spellEnd"/>
      <w:r w:rsidRPr="00B935F1">
        <w:rPr>
          <w:rFonts w:ascii="Garamond" w:hAnsi="Garamond"/>
          <w:color w:val="000000" w:themeColor="text1"/>
        </w:rPr>
        <w:t xml:space="preserve">… [pour] </w:t>
      </w:r>
      <w:proofErr w:type="spellStart"/>
      <w:r w:rsidRPr="00B935F1">
        <w:rPr>
          <w:rFonts w:ascii="Garamond" w:hAnsi="Garamond"/>
          <w:i/>
          <w:color w:val="000000" w:themeColor="text1"/>
        </w:rPr>
        <w:t>derailler</w:t>
      </w:r>
      <w:proofErr w:type="spellEnd"/>
      <w:r w:rsidRPr="00B935F1">
        <w:rPr>
          <w:rFonts w:ascii="Garamond" w:hAnsi="Garamond"/>
          <w:i/>
          <w:color w:val="000000" w:themeColor="text1"/>
        </w:rPr>
        <w:t xml:space="preserve"> le </w:t>
      </w:r>
      <w:proofErr w:type="spellStart"/>
      <w:r w:rsidRPr="00B935F1">
        <w:rPr>
          <w:rFonts w:ascii="Garamond" w:hAnsi="Garamond"/>
          <w:i/>
          <w:color w:val="000000" w:themeColor="text1"/>
        </w:rPr>
        <w:t>système</w:t>
      </w:r>
      <w:proofErr w:type="spellEnd"/>
      <w:r w:rsidRPr="00B935F1">
        <w:rPr>
          <w:rFonts w:ascii="Garamond" w:hAnsi="Garamond"/>
          <w:color w:val="000000" w:themeColor="text1"/>
        </w:rPr>
        <w:t>».</w:t>
      </w:r>
    </w:p>
  </w:footnote>
  <w:footnote w:id="80">
    <w:p w14:paraId="711C822E" w14:textId="1EB9CFD1"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Come, inizialmente affermato anche dai giudici di Strasburgo nel</w:t>
      </w:r>
      <w:bookmarkStart w:id="4" w:name="_Hlk68687103"/>
      <w:r w:rsidRPr="00B935F1">
        <w:rPr>
          <w:rFonts w:ascii="Garamond" w:hAnsi="Garamond"/>
          <w:color w:val="000000" w:themeColor="text1"/>
        </w:rPr>
        <w:t xml:space="preserve">la Sentenza del 15 marzo 2012, ricorso n. 24429/03, </w:t>
      </w:r>
      <w:proofErr w:type="spellStart"/>
      <w:r w:rsidRPr="00156101">
        <w:rPr>
          <w:rFonts w:ascii="Garamond" w:hAnsi="Garamond"/>
          <w:i/>
          <w:iCs/>
          <w:color w:val="000000" w:themeColor="text1"/>
        </w:rPr>
        <w:t>Solomakhin</w:t>
      </w:r>
      <w:proofErr w:type="spellEnd"/>
      <w:r w:rsidRPr="00B935F1">
        <w:rPr>
          <w:rFonts w:ascii="Garamond" w:hAnsi="Garamond"/>
          <w:iCs/>
          <w:color w:val="000000" w:themeColor="text1"/>
        </w:rPr>
        <w:t xml:space="preserve"> c. </w:t>
      </w:r>
      <w:r w:rsidRPr="00156101">
        <w:rPr>
          <w:rFonts w:ascii="Garamond" w:hAnsi="Garamond"/>
          <w:i/>
          <w:iCs/>
          <w:color w:val="000000" w:themeColor="text1"/>
        </w:rPr>
        <w:t>Ucraina</w:t>
      </w:r>
      <w:r w:rsidRPr="00B935F1">
        <w:rPr>
          <w:rFonts w:ascii="Garamond" w:hAnsi="Garamond"/>
          <w:color w:val="000000" w:themeColor="text1"/>
        </w:rPr>
        <w:t> </w:t>
      </w:r>
      <w:bookmarkEnd w:id="4"/>
      <w:r w:rsidRPr="00B935F1">
        <w:rPr>
          <w:rFonts w:ascii="Garamond" w:hAnsi="Garamond"/>
          <w:color w:val="000000" w:themeColor="text1"/>
        </w:rPr>
        <w:t xml:space="preserve">e poi ribadito nella già citata pronuncia </w:t>
      </w:r>
      <w:proofErr w:type="spellStart"/>
      <w:r w:rsidRPr="00156101">
        <w:rPr>
          <w:rFonts w:ascii="Garamond" w:hAnsi="Garamond"/>
          <w:i/>
          <w:color w:val="000000" w:themeColor="text1"/>
        </w:rPr>
        <w:t>Vavricka</w:t>
      </w:r>
      <w:proofErr w:type="spellEnd"/>
      <w:r w:rsidRPr="00156101">
        <w:rPr>
          <w:rFonts w:ascii="Garamond" w:hAnsi="Garamond"/>
          <w:i/>
          <w:color w:val="000000" w:themeColor="text1"/>
        </w:rPr>
        <w:t xml:space="preserve"> e altri</w:t>
      </w:r>
      <w:r w:rsidRPr="00B935F1">
        <w:rPr>
          <w:rFonts w:ascii="Garamond" w:hAnsi="Garamond"/>
          <w:color w:val="000000" w:themeColor="text1"/>
        </w:rPr>
        <w:t xml:space="preserve"> c. </w:t>
      </w:r>
      <w:r w:rsidRPr="00156101">
        <w:rPr>
          <w:rFonts w:ascii="Garamond" w:hAnsi="Garamond"/>
          <w:i/>
          <w:color w:val="000000" w:themeColor="text1"/>
        </w:rPr>
        <w:t>Repubblica Ceca</w:t>
      </w:r>
      <w:r w:rsidRPr="00B935F1">
        <w:rPr>
          <w:rFonts w:ascii="Garamond" w:hAnsi="Garamond"/>
          <w:color w:val="000000" w:themeColor="text1"/>
        </w:rPr>
        <w:t>.</w:t>
      </w:r>
    </w:p>
  </w:footnote>
  <w:footnote w:id="81">
    <w:p w14:paraId="6DBB067C" w14:textId="41D22857" w:rsidR="006B1761" w:rsidRPr="0015610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Anche nel rinnovato contesto epidemiologico, caratterizzato dall’aumento dei contagi determinato dal deflagrare della variante </w:t>
      </w:r>
      <w:r w:rsidRPr="00B935F1">
        <w:rPr>
          <w:rFonts w:ascii="Garamond" w:hAnsi="Garamond"/>
          <w:i/>
          <w:color w:val="000000" w:themeColor="text1"/>
        </w:rPr>
        <w:t>Omicron</w:t>
      </w:r>
      <w:r w:rsidRPr="00B935F1">
        <w:rPr>
          <w:rFonts w:ascii="Garamond" w:hAnsi="Garamond"/>
          <w:color w:val="000000" w:themeColor="text1"/>
        </w:rPr>
        <w:t xml:space="preserve"> nell’area occidentale, il </w:t>
      </w:r>
      <w:proofErr w:type="spellStart"/>
      <w:r w:rsidRPr="00B935F1">
        <w:rPr>
          <w:rFonts w:ascii="Garamond" w:hAnsi="Garamond"/>
          <w:i/>
          <w:color w:val="000000" w:themeColor="text1"/>
        </w:rPr>
        <w:t>Conseil</w:t>
      </w:r>
      <w:proofErr w:type="spellEnd"/>
      <w:r w:rsidRPr="00B935F1">
        <w:rPr>
          <w:rFonts w:ascii="Garamond" w:hAnsi="Garamond"/>
          <w:color w:val="000000" w:themeColor="text1"/>
        </w:rPr>
        <w:t>, in coerenza con la decisione precedente ha ribadito la legittimità di tale misura politico-sanitaria, dettando alcune condizioni. In particolare, le misure dovrebbero tenere conto di alcuni indici sanitari, come, ad esempio «(…)</w:t>
      </w:r>
      <w:r w:rsidRPr="00B935F1">
        <w:rPr>
          <w:rFonts w:ascii="Garamond" w:hAnsi="Garamond"/>
          <w:i/>
          <w:color w:val="000000" w:themeColor="text1"/>
        </w:rPr>
        <w:t xml:space="preserve"> le </w:t>
      </w:r>
      <w:proofErr w:type="spellStart"/>
      <w:r w:rsidRPr="00B935F1">
        <w:rPr>
          <w:rFonts w:ascii="Garamond" w:hAnsi="Garamond"/>
          <w:i/>
          <w:color w:val="000000" w:themeColor="text1"/>
        </w:rPr>
        <w:t>taux</w:t>
      </w:r>
      <w:proofErr w:type="spellEnd"/>
      <w:r w:rsidRPr="00B935F1">
        <w:rPr>
          <w:rFonts w:ascii="Garamond" w:hAnsi="Garamond"/>
          <w:i/>
          <w:color w:val="000000" w:themeColor="text1"/>
        </w:rPr>
        <w:t xml:space="preserve"> de </w:t>
      </w:r>
      <w:proofErr w:type="spellStart"/>
      <w:r w:rsidRPr="00B935F1">
        <w:rPr>
          <w:rFonts w:ascii="Garamond" w:hAnsi="Garamond"/>
          <w:i/>
          <w:color w:val="000000" w:themeColor="text1"/>
        </w:rPr>
        <w:t>vaccination</w:t>
      </w:r>
      <w:proofErr w:type="spellEnd"/>
      <w:r w:rsidRPr="00B935F1">
        <w:rPr>
          <w:rFonts w:ascii="Garamond" w:hAnsi="Garamond"/>
          <w:i/>
          <w:color w:val="000000" w:themeColor="text1"/>
        </w:rPr>
        <w:t xml:space="preserve">, le </w:t>
      </w:r>
      <w:proofErr w:type="spellStart"/>
      <w:r w:rsidRPr="00B935F1">
        <w:rPr>
          <w:rFonts w:ascii="Garamond" w:hAnsi="Garamond"/>
          <w:i/>
          <w:color w:val="000000" w:themeColor="text1"/>
        </w:rPr>
        <w:t>taux</w:t>
      </w:r>
      <w:proofErr w:type="spellEnd"/>
      <w:r w:rsidRPr="00B935F1">
        <w:rPr>
          <w:rFonts w:ascii="Garamond" w:hAnsi="Garamond"/>
          <w:i/>
          <w:color w:val="000000" w:themeColor="text1"/>
        </w:rPr>
        <w:t xml:space="preserve"> de </w:t>
      </w:r>
      <w:proofErr w:type="spellStart"/>
      <w:r w:rsidRPr="00B935F1">
        <w:rPr>
          <w:rFonts w:ascii="Garamond" w:hAnsi="Garamond"/>
          <w:i/>
          <w:color w:val="000000" w:themeColor="text1"/>
        </w:rPr>
        <w:t>positivité</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des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tests</w:t>
      </w:r>
      <w:proofErr w:type="spellEnd"/>
      <w:r w:rsidRPr="00B935F1">
        <w:rPr>
          <w:rFonts w:ascii="Garamond" w:hAnsi="Garamond"/>
          <w:i/>
          <w:color w:val="000000" w:themeColor="text1"/>
        </w:rPr>
        <w:t xml:space="preserve"> de dépistage, le </w:t>
      </w:r>
      <w:proofErr w:type="spellStart"/>
      <w:r w:rsidRPr="00B935F1">
        <w:rPr>
          <w:rFonts w:ascii="Garamond" w:hAnsi="Garamond"/>
          <w:i/>
          <w:color w:val="000000" w:themeColor="text1"/>
        </w:rPr>
        <w:t>taux</w:t>
      </w:r>
      <w:proofErr w:type="spellEnd"/>
      <w:r w:rsidRPr="00B935F1">
        <w:rPr>
          <w:rFonts w:ascii="Garamond" w:hAnsi="Garamond"/>
          <w:i/>
          <w:color w:val="000000" w:themeColor="text1"/>
        </w:rPr>
        <w:t xml:space="preserve"> d'</w:t>
      </w:r>
      <w:proofErr w:type="spellStart"/>
      <w:r w:rsidRPr="00B935F1">
        <w:rPr>
          <w:rFonts w:ascii="Garamond" w:hAnsi="Garamond"/>
          <w:i/>
          <w:color w:val="000000" w:themeColor="text1"/>
        </w:rPr>
        <w:t>incidence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ou</w:t>
      </w:r>
      <w:proofErr w:type="spellEnd"/>
      <w:r w:rsidRPr="00B935F1">
        <w:rPr>
          <w:rFonts w:ascii="Garamond" w:hAnsi="Garamond"/>
          <w:i/>
          <w:color w:val="000000" w:themeColor="text1"/>
        </w:rPr>
        <w:t xml:space="preserve"> le </w:t>
      </w:r>
      <w:proofErr w:type="spellStart"/>
      <w:r w:rsidRPr="00B935F1">
        <w:rPr>
          <w:rFonts w:ascii="Garamond" w:hAnsi="Garamond"/>
          <w:i/>
          <w:color w:val="000000" w:themeColor="text1"/>
        </w:rPr>
        <w:t>taux</w:t>
      </w:r>
      <w:proofErr w:type="spellEnd"/>
      <w:r w:rsidRPr="00B935F1">
        <w:rPr>
          <w:rFonts w:ascii="Garamond" w:hAnsi="Garamond"/>
          <w:i/>
          <w:color w:val="000000" w:themeColor="text1"/>
        </w:rPr>
        <w:t xml:space="preserve"> de </w:t>
      </w:r>
      <w:proofErr w:type="spellStart"/>
      <w:r w:rsidRPr="00B935F1">
        <w:rPr>
          <w:rFonts w:ascii="Garamond" w:hAnsi="Garamond"/>
          <w:i/>
          <w:color w:val="000000" w:themeColor="text1"/>
        </w:rPr>
        <w:t>saturation</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des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lits</w:t>
      </w:r>
      <w:proofErr w:type="spellEnd"/>
      <w:r w:rsidRPr="00B935F1">
        <w:rPr>
          <w:rFonts w:ascii="Garamond" w:hAnsi="Garamond"/>
          <w:i/>
          <w:color w:val="000000" w:themeColor="text1"/>
        </w:rPr>
        <w:t xml:space="preserve"> de </w:t>
      </w:r>
      <w:proofErr w:type="spellStart"/>
      <w:r w:rsidRPr="00B935F1">
        <w:rPr>
          <w:rFonts w:ascii="Garamond" w:hAnsi="Garamond"/>
          <w:i/>
          <w:color w:val="000000" w:themeColor="text1"/>
        </w:rPr>
        <w:t>réanimation</w:t>
      </w:r>
      <w:proofErr w:type="spellEnd"/>
      <w:r w:rsidRPr="00B935F1">
        <w:rPr>
          <w:rFonts w:ascii="Garamond" w:hAnsi="Garamond"/>
          <w:color w:val="000000" w:themeColor="text1"/>
        </w:rPr>
        <w:t>»</w:t>
      </w:r>
      <w:r w:rsidRPr="00B935F1">
        <w:rPr>
          <w:rFonts w:ascii="Garamond" w:hAnsi="Garamond"/>
          <w:i/>
          <w:color w:val="000000" w:themeColor="text1"/>
        </w:rPr>
        <w:t>.</w:t>
      </w:r>
      <w:r w:rsidRPr="00B935F1">
        <w:rPr>
          <w:rFonts w:ascii="Garamond" w:hAnsi="Garamond"/>
          <w:color w:val="000000" w:themeColor="text1"/>
        </w:rPr>
        <w:t xml:space="preserve"> </w:t>
      </w:r>
      <w:proofErr w:type="spellStart"/>
      <w:r w:rsidRPr="00B935F1">
        <w:rPr>
          <w:rFonts w:ascii="Garamond" w:hAnsi="Garamond"/>
          <w:color w:val="000000" w:themeColor="text1"/>
          <w:lang w:val="en-US"/>
        </w:rPr>
        <w:t>Devono</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anche</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essere</w:t>
      </w:r>
      <w:proofErr w:type="spellEnd"/>
      <w:r w:rsidRPr="00B935F1">
        <w:rPr>
          <w:rFonts w:ascii="Garamond" w:hAnsi="Garamond"/>
          <w:i/>
          <w:color w:val="000000" w:themeColor="text1"/>
          <w:lang w:val="en-US"/>
        </w:rPr>
        <w:t xml:space="preserve"> </w:t>
      </w:r>
      <w:proofErr w:type="gramStart"/>
      <w:r w:rsidRPr="00156101">
        <w:rPr>
          <w:rFonts w:ascii="Garamond" w:hAnsi="Garamond"/>
          <w:color w:val="000000" w:themeColor="text1"/>
          <w:lang w:val="en-US"/>
        </w:rPr>
        <w:t>«</w:t>
      </w:r>
      <w:r w:rsidRPr="00B935F1">
        <w:rPr>
          <w:rFonts w:ascii="Garamond" w:hAnsi="Garamond"/>
          <w:color w:val="000000" w:themeColor="text1"/>
          <w:lang w:val="en-US"/>
        </w:rPr>
        <w:t>(</w:t>
      </w:r>
      <w:proofErr w:type="gramEnd"/>
      <w:r w:rsidRPr="00B935F1">
        <w:rPr>
          <w:rFonts w:ascii="Garamond" w:hAnsi="Garamond"/>
          <w:color w:val="000000" w:themeColor="text1"/>
          <w:lang w:val="en-US"/>
        </w:rPr>
        <w:t>…)</w:t>
      </w:r>
      <w:r w:rsidRPr="00B935F1">
        <w:rPr>
          <w:rFonts w:ascii="Garamond" w:hAnsi="Garamond"/>
          <w:i/>
          <w:color w:val="000000" w:themeColor="text1"/>
          <w:lang w:val="en-US"/>
        </w:rPr>
        <w:t xml:space="preserve"> </w:t>
      </w:r>
      <w:proofErr w:type="spellStart"/>
      <w:r w:rsidRPr="00B935F1">
        <w:rPr>
          <w:rFonts w:ascii="Garamond" w:hAnsi="Garamond"/>
          <w:i/>
          <w:color w:val="000000" w:themeColor="text1"/>
          <w:lang w:val="en-US"/>
        </w:rPr>
        <w:t>Strictement</w:t>
      </w:r>
      <w:proofErr w:type="spellEnd"/>
      <w:r w:rsidRPr="00B935F1">
        <w:rPr>
          <w:rFonts w:ascii="Garamond" w:hAnsi="Garamond"/>
          <w:i/>
          <w:color w:val="000000" w:themeColor="text1"/>
          <w:lang w:val="en-US"/>
        </w:rPr>
        <w:t xml:space="preserve"> </w:t>
      </w:r>
      <w:proofErr w:type="spellStart"/>
      <w:r w:rsidRPr="00B935F1">
        <w:rPr>
          <w:rFonts w:ascii="Garamond" w:hAnsi="Garamond"/>
          <w:i/>
          <w:color w:val="000000" w:themeColor="text1"/>
          <w:lang w:val="en-US"/>
        </w:rPr>
        <w:t>proportionnées</w:t>
      </w:r>
      <w:proofErr w:type="spellEnd"/>
      <w:r w:rsidRPr="00B935F1">
        <w:rPr>
          <w:rFonts w:ascii="Garamond" w:hAnsi="Garamond"/>
          <w:i/>
          <w:color w:val="000000" w:themeColor="text1"/>
          <w:lang w:val="en-US"/>
        </w:rPr>
        <w:t xml:space="preserve"> aux </w:t>
      </w:r>
      <w:proofErr w:type="spellStart"/>
      <w:r w:rsidRPr="00B935F1">
        <w:rPr>
          <w:rFonts w:ascii="Garamond" w:hAnsi="Garamond"/>
          <w:i/>
          <w:color w:val="000000" w:themeColor="text1"/>
          <w:lang w:val="en-US"/>
        </w:rPr>
        <w:t>risques</w:t>
      </w:r>
      <w:proofErr w:type="spellEnd"/>
      <w:r w:rsidRPr="00B935F1">
        <w:rPr>
          <w:rFonts w:ascii="Garamond" w:hAnsi="Garamond"/>
          <w:i/>
          <w:color w:val="000000" w:themeColor="text1"/>
          <w:lang w:val="en-US"/>
        </w:rPr>
        <w:t xml:space="preserve"> </w:t>
      </w:r>
      <w:proofErr w:type="spellStart"/>
      <w:r w:rsidRPr="00B935F1">
        <w:rPr>
          <w:rFonts w:ascii="Garamond" w:hAnsi="Garamond"/>
          <w:i/>
          <w:color w:val="000000" w:themeColor="text1"/>
          <w:lang w:val="en-US"/>
        </w:rPr>
        <w:t>sanitaires</w:t>
      </w:r>
      <w:proofErr w:type="spellEnd"/>
      <w:r w:rsidRPr="00B935F1">
        <w:rPr>
          <w:rFonts w:ascii="Garamond" w:hAnsi="Garamond"/>
          <w:i/>
          <w:color w:val="000000" w:themeColor="text1"/>
          <w:lang w:val="en-US"/>
        </w:rPr>
        <w:t xml:space="preserve"> </w:t>
      </w:r>
      <w:proofErr w:type="spellStart"/>
      <w:r w:rsidRPr="00B935F1">
        <w:rPr>
          <w:rFonts w:ascii="Garamond" w:hAnsi="Garamond"/>
          <w:i/>
          <w:color w:val="000000" w:themeColor="text1"/>
          <w:lang w:val="en-US"/>
        </w:rPr>
        <w:t>encourus</w:t>
      </w:r>
      <w:proofErr w:type="spellEnd"/>
      <w:r w:rsidRPr="00B935F1">
        <w:rPr>
          <w:rFonts w:ascii="Garamond" w:hAnsi="Garamond"/>
          <w:i/>
          <w:color w:val="000000" w:themeColor="text1"/>
          <w:lang w:val="en-US"/>
        </w:rPr>
        <w:t xml:space="preserve"> et </w:t>
      </w:r>
      <w:proofErr w:type="spellStart"/>
      <w:r w:rsidRPr="00B935F1">
        <w:rPr>
          <w:rFonts w:ascii="Garamond" w:hAnsi="Garamond"/>
          <w:i/>
          <w:color w:val="000000" w:themeColor="text1"/>
          <w:lang w:val="en-US"/>
        </w:rPr>
        <w:t>appropriées</w:t>
      </w:r>
      <w:proofErr w:type="spellEnd"/>
      <w:r w:rsidRPr="00B935F1">
        <w:rPr>
          <w:rFonts w:ascii="Garamond" w:hAnsi="Garamond"/>
          <w:i/>
          <w:color w:val="000000" w:themeColor="text1"/>
          <w:lang w:val="en-US"/>
        </w:rPr>
        <w:t xml:space="preserve"> aux </w:t>
      </w:r>
      <w:proofErr w:type="spellStart"/>
      <w:r w:rsidRPr="00B935F1">
        <w:rPr>
          <w:rFonts w:ascii="Garamond" w:hAnsi="Garamond"/>
          <w:i/>
          <w:color w:val="000000" w:themeColor="text1"/>
          <w:lang w:val="en-US"/>
        </w:rPr>
        <w:t>circonstances</w:t>
      </w:r>
      <w:proofErr w:type="spellEnd"/>
      <w:r w:rsidRPr="00B935F1">
        <w:rPr>
          <w:rFonts w:ascii="Garamond" w:hAnsi="Garamond"/>
          <w:i/>
          <w:color w:val="000000" w:themeColor="text1"/>
          <w:lang w:val="en-US"/>
        </w:rPr>
        <w:t xml:space="preserve"> de temps et de lieu. </w:t>
      </w:r>
      <w:r w:rsidRPr="00A74B59">
        <w:rPr>
          <w:rFonts w:ascii="Garamond" w:hAnsi="Garamond"/>
          <w:i/>
          <w:color w:val="000000" w:themeColor="text1"/>
        </w:rPr>
        <w:t>Il y est mis fin sans délai lorsqu'elles ne sont plus nécessaires</w:t>
      </w:r>
      <w:r w:rsidRPr="00A74B59">
        <w:rPr>
          <w:rFonts w:ascii="Garamond" w:hAnsi="Garamond"/>
          <w:color w:val="000000" w:themeColor="text1"/>
        </w:rPr>
        <w:t xml:space="preserve">». </w:t>
      </w:r>
      <w:r w:rsidRPr="00B935F1">
        <w:rPr>
          <w:rFonts w:ascii="Garamond" w:hAnsi="Garamond"/>
          <w:color w:val="000000" w:themeColor="text1"/>
        </w:rPr>
        <w:t xml:space="preserve">Tuttavia, seppur tali misure introdotte dalla </w:t>
      </w:r>
      <w:r w:rsidRPr="00B935F1">
        <w:rPr>
          <w:rFonts w:ascii="Garamond" w:hAnsi="Garamond"/>
          <w:i/>
          <w:color w:val="000000" w:themeColor="text1"/>
        </w:rPr>
        <w:t xml:space="preserve">Loi n° 2022-46 </w:t>
      </w:r>
      <w:proofErr w:type="spellStart"/>
      <w:r w:rsidRPr="00B935F1">
        <w:rPr>
          <w:rFonts w:ascii="Garamond" w:hAnsi="Garamond"/>
          <w:i/>
          <w:color w:val="000000" w:themeColor="text1"/>
        </w:rPr>
        <w:t>du</w:t>
      </w:r>
      <w:proofErr w:type="spellEnd"/>
      <w:r w:rsidRPr="00B935F1">
        <w:rPr>
          <w:rFonts w:ascii="Garamond" w:hAnsi="Garamond"/>
          <w:i/>
          <w:color w:val="000000" w:themeColor="text1"/>
        </w:rPr>
        <w:t xml:space="preserve"> 22 </w:t>
      </w:r>
      <w:proofErr w:type="spellStart"/>
      <w:r w:rsidRPr="00B935F1">
        <w:rPr>
          <w:rFonts w:ascii="Garamond" w:hAnsi="Garamond"/>
          <w:i/>
          <w:color w:val="000000" w:themeColor="text1"/>
        </w:rPr>
        <w:t>janvier</w:t>
      </w:r>
      <w:proofErr w:type="spellEnd"/>
      <w:r w:rsidRPr="00B935F1">
        <w:rPr>
          <w:rFonts w:ascii="Garamond" w:hAnsi="Garamond"/>
          <w:i/>
          <w:color w:val="000000" w:themeColor="text1"/>
        </w:rPr>
        <w:t xml:space="preserve"> 2022</w:t>
      </w:r>
      <w:r w:rsidRPr="00B935F1">
        <w:rPr>
          <w:rFonts w:ascii="Garamond" w:hAnsi="Garamond"/>
          <w:color w:val="000000" w:themeColor="text1"/>
        </w:rPr>
        <w:t xml:space="preserve"> operino, da un lato, «</w:t>
      </w:r>
      <w:r w:rsidRPr="00B935F1">
        <w:rPr>
          <w:rFonts w:ascii="Garamond" w:hAnsi="Garamond"/>
          <w:i/>
          <w:color w:val="000000" w:themeColor="text1"/>
        </w:rPr>
        <w:t xml:space="preserve">une </w:t>
      </w:r>
      <w:proofErr w:type="spellStart"/>
      <w:r w:rsidRPr="00B935F1">
        <w:rPr>
          <w:rFonts w:ascii="Garamond" w:hAnsi="Garamond"/>
          <w:i/>
          <w:color w:val="000000" w:themeColor="text1"/>
        </w:rPr>
        <w:t>conciliation</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équilibrée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entre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les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exigences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constitutionnelles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précitées</w:t>
      </w:r>
      <w:proofErr w:type="spellEnd"/>
      <w:r w:rsidRPr="00B935F1">
        <w:rPr>
          <w:rFonts w:ascii="Garamond" w:hAnsi="Garamond"/>
          <w:color w:val="000000" w:themeColor="text1"/>
        </w:rPr>
        <w:t xml:space="preserve">», dall’altro, alcune di esse hanno ricevuto una parziale declaratoria di incostituzionalità nella parte in cui autorizzavano gli organizzatori delle riunioni politiche a richiedere ai partecipanti l’esibizione del </w:t>
      </w:r>
      <w:r w:rsidRPr="00B935F1">
        <w:rPr>
          <w:rFonts w:ascii="Garamond" w:hAnsi="Garamond"/>
          <w:i/>
          <w:color w:val="000000" w:themeColor="text1"/>
        </w:rPr>
        <w:t>passe vaccinale</w:t>
      </w:r>
      <w:r w:rsidRPr="00B935F1">
        <w:rPr>
          <w:rFonts w:ascii="Garamond" w:hAnsi="Garamond"/>
          <w:color w:val="000000" w:themeColor="text1"/>
        </w:rPr>
        <w:t xml:space="preserve">, che avrebbe impedito ai cittadini di esercitare la libertà di espressione e di condivisione delle idee politiche proprio nei tre mesi antecedenti alle elezioni presidenziali, contrariamente alle disposizioni che specificano le condizioni alle quali il Presidente del Consiglio può subordinare l'accesso a determinati luoghi alla presentazione del certificato vaccinale. </w:t>
      </w:r>
      <w:proofErr w:type="spellStart"/>
      <w:r w:rsidRPr="00156101">
        <w:rPr>
          <w:rFonts w:ascii="Garamond" w:hAnsi="Garamond"/>
          <w:color w:val="000000" w:themeColor="text1"/>
        </w:rPr>
        <w:t>Décision</w:t>
      </w:r>
      <w:proofErr w:type="spellEnd"/>
      <w:r w:rsidRPr="00156101">
        <w:rPr>
          <w:rFonts w:ascii="Garamond" w:hAnsi="Garamond"/>
          <w:color w:val="000000" w:themeColor="text1"/>
        </w:rPr>
        <w:t xml:space="preserve"> n° 2022-835 DC </w:t>
      </w:r>
      <w:proofErr w:type="spellStart"/>
      <w:r w:rsidRPr="00156101">
        <w:rPr>
          <w:rFonts w:ascii="Garamond" w:hAnsi="Garamond"/>
          <w:color w:val="000000" w:themeColor="text1"/>
        </w:rPr>
        <w:t>du</w:t>
      </w:r>
      <w:proofErr w:type="spellEnd"/>
      <w:r w:rsidRPr="00156101">
        <w:rPr>
          <w:rFonts w:ascii="Garamond" w:hAnsi="Garamond"/>
          <w:color w:val="000000" w:themeColor="text1"/>
        </w:rPr>
        <w:t xml:space="preserve"> 21 </w:t>
      </w:r>
      <w:proofErr w:type="spellStart"/>
      <w:r w:rsidRPr="00156101">
        <w:rPr>
          <w:rFonts w:ascii="Garamond" w:hAnsi="Garamond"/>
          <w:color w:val="000000" w:themeColor="text1"/>
        </w:rPr>
        <w:t>janvier</w:t>
      </w:r>
      <w:proofErr w:type="spellEnd"/>
      <w:r w:rsidRPr="00156101">
        <w:rPr>
          <w:rFonts w:ascii="Garamond" w:hAnsi="Garamond"/>
          <w:color w:val="000000" w:themeColor="text1"/>
        </w:rPr>
        <w:t xml:space="preserve"> 2022.</w:t>
      </w:r>
    </w:p>
  </w:footnote>
  <w:footnote w:id="82">
    <w:p w14:paraId="3AF4B2EA" w14:textId="56722CD3" w:rsidR="006B1761" w:rsidRPr="0015610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156101">
        <w:rPr>
          <w:rFonts w:ascii="Garamond" w:hAnsi="Garamond"/>
          <w:color w:val="000000" w:themeColor="text1"/>
        </w:rPr>
        <w:t xml:space="preserve"> </w:t>
      </w:r>
      <w:r w:rsidRPr="00B935F1">
        <w:rPr>
          <w:rFonts w:ascii="Garamond" w:hAnsi="Garamond"/>
          <w:color w:val="000000" w:themeColor="text1"/>
        </w:rPr>
        <w:t xml:space="preserve">Sentenza del Tribunale dell’Unione europea del 27 aprile 2022 (C-266/29) Cause riunite T-710/21, T-722/21 e T-723/21, </w:t>
      </w:r>
      <w:proofErr w:type="spellStart"/>
      <w:r w:rsidRPr="00156101">
        <w:rPr>
          <w:rFonts w:ascii="Garamond" w:hAnsi="Garamond"/>
          <w:i/>
          <w:color w:val="000000" w:themeColor="text1"/>
        </w:rPr>
        <w:t>Roos</w:t>
      </w:r>
      <w:proofErr w:type="spellEnd"/>
      <w:r w:rsidRPr="00156101">
        <w:rPr>
          <w:rFonts w:ascii="Garamond" w:hAnsi="Garamond"/>
          <w:i/>
          <w:color w:val="000000" w:themeColor="text1"/>
        </w:rPr>
        <w:t xml:space="preserve"> et al</w:t>
      </w:r>
      <w:r w:rsidRPr="00B935F1">
        <w:rPr>
          <w:rFonts w:ascii="Garamond" w:hAnsi="Garamond"/>
          <w:color w:val="000000" w:themeColor="text1"/>
        </w:rPr>
        <w:t xml:space="preserve">. c. </w:t>
      </w:r>
      <w:r w:rsidRPr="00156101">
        <w:rPr>
          <w:rFonts w:ascii="Garamond" w:hAnsi="Garamond"/>
          <w:i/>
          <w:color w:val="000000" w:themeColor="text1"/>
        </w:rPr>
        <w:t>Parlamento</w:t>
      </w:r>
      <w:r w:rsidRPr="00B935F1">
        <w:rPr>
          <w:rFonts w:ascii="Garamond" w:hAnsi="Garamond"/>
          <w:color w:val="000000" w:themeColor="text1"/>
        </w:rPr>
        <w:t>.</w:t>
      </w:r>
    </w:p>
  </w:footnote>
  <w:footnote w:id="83">
    <w:p w14:paraId="58809C30" w14:textId="2DF846E4" w:rsidR="006B1761" w:rsidRPr="0015610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Paragrafo</w:t>
      </w:r>
      <w:proofErr w:type="spellEnd"/>
      <w:r w:rsidRPr="00156101">
        <w:rPr>
          <w:rFonts w:ascii="Garamond" w:hAnsi="Garamond"/>
          <w:color w:val="000000" w:themeColor="text1"/>
          <w:lang w:val="en-US"/>
        </w:rPr>
        <w:t xml:space="preserve"> 36.</w:t>
      </w:r>
    </w:p>
  </w:footnote>
  <w:footnote w:id="84">
    <w:p w14:paraId="58F4CDD4" w14:textId="77777777" w:rsidR="006B1761" w:rsidRPr="0015610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Paragrafo</w:t>
      </w:r>
      <w:proofErr w:type="spellEnd"/>
      <w:r w:rsidRPr="00156101">
        <w:rPr>
          <w:rFonts w:ascii="Garamond" w:hAnsi="Garamond"/>
          <w:color w:val="000000" w:themeColor="text1"/>
          <w:lang w:val="en-US"/>
        </w:rPr>
        <w:t xml:space="preserve"> 190, General Court of the European Union, cit.</w:t>
      </w:r>
    </w:p>
  </w:footnote>
  <w:footnote w:id="85">
    <w:p w14:paraId="4289298A" w14:textId="46C4AEAE"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Paragrafo</w:t>
      </w:r>
      <w:proofErr w:type="spellEnd"/>
      <w:r w:rsidRPr="00B935F1">
        <w:rPr>
          <w:rFonts w:ascii="Garamond" w:hAnsi="Garamond"/>
          <w:color w:val="000000" w:themeColor="text1"/>
          <w:lang w:val="en-US"/>
        </w:rPr>
        <w:t xml:space="preserve"> 191. </w:t>
      </w:r>
    </w:p>
  </w:footnote>
  <w:footnote w:id="86">
    <w:p w14:paraId="230B5FB6" w14:textId="19CD208E"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w:t>
      </w:r>
      <w:proofErr w:type="spellStart"/>
      <w:r w:rsidRPr="00156101">
        <w:rPr>
          <w:rFonts w:ascii="Garamond" w:hAnsi="Garamond"/>
          <w:i/>
          <w:color w:val="000000" w:themeColor="text1"/>
          <w:lang w:val="en-US"/>
        </w:rPr>
        <w:t>Ivi</w:t>
      </w:r>
      <w:proofErr w:type="spellEnd"/>
      <w:r w:rsidRPr="00156101">
        <w:rPr>
          <w:rFonts w:ascii="Garamond" w:hAnsi="Garamond"/>
          <w:i/>
          <w:color w:val="000000" w:themeColor="text1"/>
          <w:lang w:val="en-US"/>
        </w:rPr>
        <w:t>.</w:t>
      </w:r>
    </w:p>
  </w:footnote>
  <w:footnote w:id="87">
    <w:p w14:paraId="06639506" w14:textId="72FAE8D2"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O, come </w:t>
      </w:r>
      <w:proofErr w:type="spellStart"/>
      <w:r w:rsidRPr="00B935F1">
        <w:rPr>
          <w:rFonts w:ascii="Garamond" w:hAnsi="Garamond"/>
          <w:color w:val="000000" w:themeColor="text1"/>
          <w:lang w:val="en-US"/>
        </w:rPr>
        <w:t>risulta</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dalla</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versione</w:t>
      </w:r>
      <w:proofErr w:type="spellEnd"/>
      <w:r w:rsidRPr="00B935F1">
        <w:rPr>
          <w:rFonts w:ascii="Garamond" w:hAnsi="Garamond"/>
          <w:color w:val="000000" w:themeColor="text1"/>
          <w:lang w:val="en-US"/>
        </w:rPr>
        <w:t xml:space="preserve"> in lingua inglese </w:t>
      </w:r>
      <w:r w:rsidRPr="00156101">
        <w:rPr>
          <w:rFonts w:ascii="Garamond" w:hAnsi="Garamond"/>
          <w:color w:val="000000" w:themeColor="text1"/>
          <w:lang w:val="en-US"/>
        </w:rPr>
        <w:t>«</w:t>
      </w:r>
      <w:r w:rsidRPr="00B935F1">
        <w:rPr>
          <w:rFonts w:ascii="Garamond" w:hAnsi="Garamond"/>
          <w:i/>
          <w:color w:val="000000" w:themeColor="text1"/>
          <w:lang w:val="en-US"/>
        </w:rPr>
        <w:t>person who is neither vaccinated nor recovered, a potential carrier of the virus, could have free access to the Parliament’s buildings, whilst risking, by the same token, infecting others</w:t>
      </w:r>
      <w:r w:rsidRPr="00156101">
        <w:rPr>
          <w:rFonts w:ascii="Garamond" w:hAnsi="Garamond"/>
          <w:color w:val="000000" w:themeColor="text1"/>
          <w:lang w:val="en-US"/>
        </w:rPr>
        <w:t>»</w:t>
      </w:r>
      <w:r w:rsidRPr="00B935F1">
        <w:rPr>
          <w:rFonts w:ascii="Garamond" w:hAnsi="Garamond"/>
          <w:color w:val="000000" w:themeColor="text1"/>
          <w:lang w:val="en-US"/>
        </w:rPr>
        <w:t>.</w:t>
      </w:r>
    </w:p>
    <w:p w14:paraId="3558BABB" w14:textId="5811142A" w:rsidR="006B1761" w:rsidRPr="00156101" w:rsidRDefault="006B1761" w:rsidP="00B67169">
      <w:pPr>
        <w:pStyle w:val="Testonotaapidipagina"/>
        <w:jc w:val="both"/>
        <w:rPr>
          <w:rFonts w:ascii="Garamond" w:hAnsi="Garamond"/>
          <w:color w:val="000000" w:themeColor="text1"/>
          <w:lang w:val="en-US"/>
        </w:rPr>
      </w:pPr>
      <w:r w:rsidRPr="00B935F1">
        <w:rPr>
          <w:rFonts w:ascii="Garamond" w:hAnsi="Garamond"/>
          <w:iCs/>
          <w:color w:val="000000" w:themeColor="text1"/>
        </w:rPr>
        <w:t>La versione italiana, invece, al paragrafo 248 della sentenza, sancisce che «</w:t>
      </w:r>
      <w:r w:rsidRPr="00156101">
        <w:rPr>
          <w:rFonts w:ascii="Garamond" w:hAnsi="Garamond"/>
          <w:iCs/>
          <w:color w:val="000000" w:themeColor="text1"/>
        </w:rPr>
        <w:t>una persona non vaccinata né guarita dalla COVID-19, potenzialmente portatrice del virus, ad esempio, avrebbe potuto avere libero accesso agli edifici del Parlamento, pur rischiando, di conseguenza, di contagiare le molte persone che vi lavorano o vi circolano quotidianamente, senza possibilità di imporgli alcun controllo</w:t>
      </w:r>
      <w:r w:rsidRPr="00B935F1">
        <w:rPr>
          <w:rFonts w:ascii="Garamond" w:hAnsi="Garamond"/>
          <w:iCs/>
          <w:color w:val="000000" w:themeColor="text1"/>
        </w:rPr>
        <w:t xml:space="preserve">». </w:t>
      </w:r>
      <w:r w:rsidRPr="00B935F1">
        <w:rPr>
          <w:rFonts w:ascii="Garamond" w:hAnsi="Garamond"/>
          <w:iCs/>
          <w:color w:val="000000" w:themeColor="text1"/>
          <w:lang w:val="en-US"/>
        </w:rPr>
        <w:t xml:space="preserve">La Corte ha, </w:t>
      </w:r>
      <w:proofErr w:type="spellStart"/>
      <w:r w:rsidRPr="00B935F1">
        <w:rPr>
          <w:rFonts w:ascii="Garamond" w:hAnsi="Garamond"/>
          <w:iCs/>
          <w:color w:val="000000" w:themeColor="text1"/>
          <w:lang w:val="en-US"/>
        </w:rPr>
        <w:t>infine</w:t>
      </w:r>
      <w:proofErr w:type="spellEnd"/>
      <w:r w:rsidRPr="00B935F1">
        <w:rPr>
          <w:rFonts w:ascii="Garamond" w:hAnsi="Garamond"/>
          <w:iCs/>
          <w:color w:val="000000" w:themeColor="text1"/>
          <w:lang w:val="en-US"/>
        </w:rPr>
        <w:t xml:space="preserve">, ritenuto </w:t>
      </w:r>
      <w:proofErr w:type="spellStart"/>
      <w:r w:rsidRPr="00B935F1">
        <w:rPr>
          <w:rFonts w:ascii="Garamond" w:hAnsi="Garamond"/>
          <w:iCs/>
          <w:color w:val="000000" w:themeColor="text1"/>
          <w:lang w:val="en-US"/>
        </w:rPr>
        <w:t>che</w:t>
      </w:r>
      <w:proofErr w:type="spellEnd"/>
      <w:r w:rsidRPr="00B935F1">
        <w:rPr>
          <w:rFonts w:ascii="Garamond" w:hAnsi="Garamond"/>
          <w:iCs/>
          <w:color w:val="000000" w:themeColor="text1"/>
          <w:lang w:val="en-US"/>
        </w:rPr>
        <w:t xml:space="preserve"> </w:t>
      </w:r>
      <w:r w:rsidRPr="00156101">
        <w:rPr>
          <w:rFonts w:ascii="Garamond" w:hAnsi="Garamond"/>
          <w:iCs/>
          <w:color w:val="000000" w:themeColor="text1"/>
          <w:lang w:val="en-US"/>
        </w:rPr>
        <w:t>«</w:t>
      </w:r>
      <w:r w:rsidRPr="00B935F1">
        <w:rPr>
          <w:rFonts w:ascii="Garamond" w:hAnsi="Garamond"/>
          <w:i/>
          <w:iCs/>
          <w:color w:val="000000" w:themeColor="text1"/>
          <w:lang w:val="en-US"/>
        </w:rPr>
        <w:t>The access conditions do not disproportionately or unreasonably affect the free and independent exercise of the Member’s mandate</w:t>
      </w:r>
      <w:r w:rsidRPr="00156101">
        <w:rPr>
          <w:rFonts w:ascii="Garamond" w:hAnsi="Garamond"/>
          <w:iCs/>
          <w:color w:val="000000" w:themeColor="text1"/>
          <w:lang w:val="en-US"/>
        </w:rPr>
        <w:t>»</w:t>
      </w:r>
      <w:r w:rsidRPr="00B935F1">
        <w:rPr>
          <w:rFonts w:ascii="Garamond" w:hAnsi="Garamond"/>
          <w:iCs/>
          <w:color w:val="000000" w:themeColor="text1"/>
          <w:lang w:val="en-US"/>
        </w:rPr>
        <w:t>.</w:t>
      </w:r>
    </w:p>
  </w:footnote>
  <w:footnote w:id="88">
    <w:p w14:paraId="28007093"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244.</w:t>
      </w:r>
    </w:p>
  </w:footnote>
  <w:footnote w:id="89">
    <w:p w14:paraId="33EB8CAC"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246.</w:t>
      </w:r>
    </w:p>
  </w:footnote>
  <w:footnote w:id="90">
    <w:p w14:paraId="430BB77E" w14:textId="0A406B98"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Peraltro, un ulteriore elemento che orienta verso una posizione a favore della legittimità della misura in parola (il c.d. </w:t>
      </w:r>
      <w:r w:rsidRPr="00B935F1">
        <w:rPr>
          <w:rFonts w:ascii="Garamond" w:hAnsi="Garamond"/>
          <w:i/>
          <w:color w:val="000000" w:themeColor="text1"/>
        </w:rPr>
        <w:t xml:space="preserve">passe </w:t>
      </w:r>
      <w:proofErr w:type="spellStart"/>
      <w:r w:rsidRPr="00B935F1">
        <w:rPr>
          <w:rFonts w:ascii="Garamond" w:hAnsi="Garamond"/>
          <w:i/>
          <w:color w:val="000000" w:themeColor="text1"/>
        </w:rPr>
        <w:t>sanitaire</w:t>
      </w:r>
      <w:proofErr w:type="spellEnd"/>
      <w:r w:rsidRPr="00B935F1">
        <w:rPr>
          <w:rFonts w:ascii="Garamond" w:hAnsi="Garamond"/>
          <w:color w:val="000000" w:themeColor="text1"/>
        </w:rPr>
        <w:t>) risulta positivamente scolpito nell’Articolo 2 protocollo n. 4 CEDU, che dispone</w:t>
      </w:r>
      <w:r w:rsidR="006D6B45" w:rsidRPr="00B935F1">
        <w:rPr>
          <w:rFonts w:ascii="Garamond" w:hAnsi="Garamond"/>
          <w:color w:val="000000" w:themeColor="text1"/>
        </w:rPr>
        <w:t>:</w:t>
      </w:r>
      <w:r w:rsidRPr="00B935F1">
        <w:rPr>
          <w:rFonts w:ascii="Garamond" w:hAnsi="Garamond"/>
          <w:color w:val="000000" w:themeColor="text1"/>
        </w:rPr>
        <w:t xml:space="preserve"> «</w:t>
      </w:r>
      <w:r w:rsidRPr="00156101">
        <w:rPr>
          <w:rFonts w:ascii="Garamond" w:hAnsi="Garamond"/>
          <w:iCs/>
          <w:color w:val="000000" w:themeColor="text1"/>
        </w:rPr>
        <w:t>L’esercizio di questi diritti non può essere oggetto di restrizioni diverse da quelle che sono previste dalla legge e costituiscono, in una società democratica, misure necessarie alla sicurezza nazionale, alla pubblica sicurezza, al mantenimento dell’ordine pubblico, alla prevenzione delle infrazioni penali, alla protezione della salute o della morale o alla protezione dei diritti e libertà altrui</w:t>
      </w:r>
      <w:r w:rsidRPr="00B935F1">
        <w:rPr>
          <w:rFonts w:ascii="Garamond" w:hAnsi="Garamond"/>
          <w:iCs/>
          <w:color w:val="000000" w:themeColor="text1"/>
        </w:rPr>
        <w:t>».</w:t>
      </w:r>
      <w:r w:rsidRPr="00B935F1">
        <w:rPr>
          <w:rFonts w:ascii="Garamond" w:hAnsi="Garamond"/>
          <w:color w:val="000000" w:themeColor="text1"/>
        </w:rPr>
        <w:t xml:space="preserve"> </w:t>
      </w:r>
    </w:p>
  </w:footnote>
  <w:footnote w:id="91">
    <w:p w14:paraId="338B3869" w14:textId="432BCE3E" w:rsidR="006B1761" w:rsidRPr="0015610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proofErr w:type="spellStart"/>
      <w:r w:rsidR="00AA656C">
        <w:rPr>
          <w:rFonts w:ascii="Garamond" w:hAnsi="Garamond"/>
          <w:color w:val="000000" w:themeColor="text1"/>
        </w:rPr>
        <w:t>L.</w:t>
      </w:r>
      <w:r w:rsidRPr="00B935F1">
        <w:rPr>
          <w:rFonts w:ascii="Garamond" w:hAnsi="Garamond"/>
          <w:smallCaps/>
          <w:color w:val="000000" w:themeColor="text1"/>
        </w:rPr>
        <w:t>Cassetti</w:t>
      </w:r>
      <w:proofErr w:type="spellEnd"/>
      <w:r w:rsidRPr="00B935F1">
        <w:rPr>
          <w:rFonts w:ascii="Garamond" w:hAnsi="Garamond"/>
          <w:smallCaps/>
          <w:color w:val="000000" w:themeColor="text1"/>
        </w:rPr>
        <w:t>.</w:t>
      </w:r>
      <w:r w:rsidR="00AA656C">
        <w:rPr>
          <w:rFonts w:ascii="Garamond" w:hAnsi="Garamond"/>
          <w:smallCaps/>
          <w:color w:val="000000" w:themeColor="text1"/>
        </w:rPr>
        <w:t xml:space="preserve">, </w:t>
      </w:r>
      <w:r w:rsidRPr="00B935F1">
        <w:rPr>
          <w:rFonts w:ascii="Garamond" w:hAnsi="Garamond"/>
          <w:smallCaps/>
          <w:color w:val="000000" w:themeColor="text1"/>
        </w:rPr>
        <w:t>Vannuccini S</w:t>
      </w:r>
      <w:r w:rsidRPr="00B935F1">
        <w:rPr>
          <w:rFonts w:ascii="Garamond" w:hAnsi="Garamond"/>
          <w:color w:val="000000" w:themeColor="text1"/>
        </w:rPr>
        <w:t xml:space="preserve">., </w:t>
      </w:r>
      <w:r w:rsidRPr="00B935F1">
        <w:rPr>
          <w:rFonts w:ascii="Garamond" w:hAnsi="Garamond"/>
          <w:i/>
          <w:color w:val="000000" w:themeColor="text1"/>
        </w:rPr>
        <w:t>Il diritto al rispetto dell’integrità psichica e fisica dei minori di età in condizioni di “particolare vulnerabilità</w:t>
      </w:r>
      <w:r w:rsidRPr="00B935F1">
        <w:rPr>
          <w:rFonts w:ascii="Garamond" w:hAnsi="Garamond"/>
          <w:color w:val="000000" w:themeColor="text1"/>
        </w:rPr>
        <w:t xml:space="preserve"> (artt. 3 e 8 CEDU) in (a cura di </w:t>
      </w:r>
      <w:r w:rsidRPr="00B935F1">
        <w:rPr>
          <w:rFonts w:ascii="Garamond" w:hAnsi="Garamond"/>
          <w:smallCaps/>
          <w:color w:val="000000" w:themeColor="text1"/>
        </w:rPr>
        <w:t>A. Di Stasi</w:t>
      </w:r>
      <w:r w:rsidRPr="00B935F1">
        <w:rPr>
          <w:rFonts w:ascii="Garamond" w:hAnsi="Garamond"/>
          <w:color w:val="000000" w:themeColor="text1"/>
        </w:rPr>
        <w:t xml:space="preserve">) </w:t>
      </w:r>
      <w:r w:rsidRPr="00B935F1">
        <w:rPr>
          <w:rFonts w:ascii="Garamond" w:hAnsi="Garamond"/>
          <w:i/>
          <w:color w:val="000000" w:themeColor="text1"/>
        </w:rPr>
        <w:t xml:space="preserve">CEDU e ordinamento italiano, La giurisprudenza della Corte europea dei diritti dell’uomo e l’impatto nell’ordinamento moderno </w:t>
      </w:r>
      <w:r w:rsidRPr="00B935F1">
        <w:rPr>
          <w:rFonts w:ascii="Garamond" w:hAnsi="Garamond"/>
          <w:color w:val="000000" w:themeColor="text1"/>
        </w:rPr>
        <w:t xml:space="preserve">2016-2020, Milano, 2016-2020, pp. 131-168.                                    </w:t>
      </w:r>
      <w:r w:rsidRPr="00156101">
        <w:rPr>
          <w:rFonts w:ascii="Garamond" w:hAnsi="Garamond"/>
          <w:smallCaps/>
          <w:color w:val="000000" w:themeColor="text1"/>
          <w:lang w:val="en-US"/>
        </w:rPr>
        <w:t>J. Marshall</w:t>
      </w:r>
      <w:r w:rsidRPr="00156101">
        <w:rPr>
          <w:rFonts w:ascii="Garamond" w:hAnsi="Garamond"/>
          <w:color w:val="000000" w:themeColor="text1"/>
          <w:lang w:val="en-US"/>
        </w:rPr>
        <w:t xml:space="preserve">, </w:t>
      </w:r>
      <w:r w:rsidRPr="00156101">
        <w:rPr>
          <w:rFonts w:ascii="Garamond" w:hAnsi="Garamond"/>
          <w:i/>
          <w:color w:val="000000" w:themeColor="text1"/>
          <w:lang w:val="en-US"/>
        </w:rPr>
        <w:t>Personal Freedom through Human Rights Law?</w:t>
      </w:r>
      <w:r w:rsidRPr="00156101">
        <w:rPr>
          <w:rFonts w:ascii="Garamond" w:hAnsi="Garamond"/>
          <w:color w:val="000000" w:themeColor="text1"/>
          <w:lang w:val="en-US"/>
        </w:rPr>
        <w:t xml:space="preserve"> </w:t>
      </w:r>
      <w:r w:rsidRPr="00156101">
        <w:rPr>
          <w:rFonts w:ascii="Garamond" w:hAnsi="Garamond"/>
          <w:i/>
          <w:color w:val="000000" w:themeColor="text1"/>
          <w:lang w:val="en-US"/>
        </w:rPr>
        <w:t xml:space="preserve">Autonomy, </w:t>
      </w:r>
      <w:proofErr w:type="gramStart"/>
      <w:r w:rsidRPr="00156101">
        <w:rPr>
          <w:rFonts w:ascii="Garamond" w:hAnsi="Garamond"/>
          <w:i/>
          <w:color w:val="000000" w:themeColor="text1"/>
          <w:lang w:val="en-US"/>
        </w:rPr>
        <w:t>Identity</w:t>
      </w:r>
      <w:proofErr w:type="gramEnd"/>
      <w:r w:rsidRPr="00156101">
        <w:rPr>
          <w:rFonts w:ascii="Garamond" w:hAnsi="Garamond"/>
          <w:i/>
          <w:color w:val="000000" w:themeColor="text1"/>
          <w:lang w:val="en-US"/>
        </w:rPr>
        <w:t xml:space="preserve"> and Integrity under the European Convention on Human Rights</w:t>
      </w:r>
      <w:r w:rsidRPr="00156101">
        <w:rPr>
          <w:rFonts w:ascii="Garamond" w:hAnsi="Garamond"/>
          <w:color w:val="000000" w:themeColor="text1"/>
          <w:lang w:val="en-US"/>
        </w:rPr>
        <w:t xml:space="preserve">, in </w:t>
      </w:r>
      <w:r w:rsidRPr="00156101">
        <w:rPr>
          <w:rFonts w:ascii="Garamond" w:hAnsi="Garamond"/>
          <w:i/>
          <w:color w:val="000000" w:themeColor="text1"/>
          <w:lang w:val="en-US"/>
        </w:rPr>
        <w:t>International Studies in Human Rights</w:t>
      </w:r>
      <w:r w:rsidRPr="00156101">
        <w:rPr>
          <w:rFonts w:ascii="Garamond" w:hAnsi="Garamond"/>
          <w:color w:val="000000" w:themeColor="text1"/>
          <w:lang w:val="en-US"/>
        </w:rPr>
        <w:t xml:space="preserve">, Leiden, 2008. </w:t>
      </w:r>
    </w:p>
    <w:p w14:paraId="7EFFF39A" w14:textId="0294071B" w:rsidR="006B1761" w:rsidRPr="00156101" w:rsidRDefault="006B1761" w:rsidP="00B67169">
      <w:pPr>
        <w:pStyle w:val="Testonotaapidipagina"/>
        <w:jc w:val="both"/>
        <w:rPr>
          <w:rFonts w:ascii="Garamond" w:hAnsi="Garamond"/>
          <w:i/>
          <w:color w:val="000000" w:themeColor="text1"/>
          <w:lang w:val="en-US"/>
        </w:rPr>
      </w:pPr>
      <w:r w:rsidRPr="00B935F1">
        <w:rPr>
          <w:rFonts w:ascii="Garamond" w:hAnsi="Garamond"/>
          <w:color w:val="000000" w:themeColor="text1"/>
        </w:rPr>
        <w:t xml:space="preserve">Il concetto astratto di integrità fisica è stato nel tempo arricchito di contenuto dalla Corte EDU, ed è venuto sovente di rilievo con riferimento agli artt. 3 e 8 della CEDU. Si pensi, in particolare alla recente pronuncia della Corte europea dei diritti umani del 20 settembre 2022, ricorso n. 43399/13, </w:t>
      </w:r>
      <w:r w:rsidRPr="00156101">
        <w:rPr>
          <w:rFonts w:ascii="Garamond" w:hAnsi="Garamond"/>
          <w:i/>
          <w:color w:val="000000" w:themeColor="text1"/>
        </w:rPr>
        <w:t>Y.P.</w:t>
      </w:r>
      <w:r w:rsidRPr="00B935F1">
        <w:rPr>
          <w:rFonts w:ascii="Garamond" w:hAnsi="Garamond"/>
          <w:color w:val="000000" w:themeColor="text1"/>
        </w:rPr>
        <w:t xml:space="preserve"> c. </w:t>
      </w:r>
      <w:r w:rsidRPr="00156101">
        <w:rPr>
          <w:rFonts w:ascii="Garamond" w:hAnsi="Garamond"/>
          <w:i/>
          <w:color w:val="000000" w:themeColor="text1"/>
        </w:rPr>
        <w:t xml:space="preserve">Russia </w:t>
      </w:r>
      <w:r w:rsidRPr="00B935F1">
        <w:rPr>
          <w:rFonts w:ascii="Garamond" w:hAnsi="Garamond"/>
          <w:color w:val="000000" w:themeColor="text1"/>
        </w:rPr>
        <w:t>in cui la medesima ha riscontrato la violazione dell’art. 8 della Convenzione, per l’avvenuta sterilizzazione di una donna senza il suo consenso libero e informato, configurandola come «</w:t>
      </w:r>
      <w:r w:rsidRPr="00B935F1">
        <w:rPr>
          <w:rFonts w:ascii="Garamond" w:hAnsi="Garamond"/>
          <w:i/>
          <w:color w:val="000000" w:themeColor="text1"/>
        </w:rPr>
        <w:t xml:space="preserve">a major </w:t>
      </w:r>
      <w:proofErr w:type="spellStart"/>
      <w:r w:rsidRPr="00B935F1">
        <w:rPr>
          <w:rFonts w:ascii="Garamond" w:hAnsi="Garamond"/>
          <w:i/>
          <w:color w:val="000000" w:themeColor="text1"/>
        </w:rPr>
        <w:t>interference</w:t>
      </w:r>
      <w:proofErr w:type="spellEnd"/>
      <w:r w:rsidRPr="00B935F1">
        <w:rPr>
          <w:rFonts w:ascii="Garamond" w:hAnsi="Garamond"/>
          <w:i/>
          <w:color w:val="000000" w:themeColor="text1"/>
        </w:rPr>
        <w:t xml:space="preserve"> with a </w:t>
      </w:r>
      <w:proofErr w:type="spellStart"/>
      <w:r w:rsidRPr="00B935F1">
        <w:rPr>
          <w:rFonts w:ascii="Garamond" w:hAnsi="Garamond"/>
          <w:i/>
          <w:color w:val="000000" w:themeColor="text1"/>
        </w:rPr>
        <w:t>person’s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reproductive</w:t>
      </w:r>
      <w:proofErr w:type="spellEnd"/>
      <w:r w:rsidRPr="00B935F1">
        <w:rPr>
          <w:rFonts w:ascii="Garamond" w:hAnsi="Garamond"/>
          <w:i/>
          <w:color w:val="000000" w:themeColor="text1"/>
        </w:rPr>
        <w:t xml:space="preserve"> health status and </w:t>
      </w:r>
      <w:proofErr w:type="spellStart"/>
      <w:r w:rsidRPr="00B935F1">
        <w:rPr>
          <w:rFonts w:ascii="Garamond" w:hAnsi="Garamond"/>
          <w:i/>
          <w:color w:val="000000" w:themeColor="text1"/>
        </w:rPr>
        <w:t>concerns</w:t>
      </w:r>
      <w:proofErr w:type="spellEnd"/>
      <w:r w:rsidRPr="00B935F1">
        <w:rPr>
          <w:rFonts w:ascii="Garamond" w:hAnsi="Garamond"/>
          <w:i/>
          <w:color w:val="000000" w:themeColor="text1"/>
        </w:rPr>
        <w:t xml:space="preserve"> one of the </w:t>
      </w:r>
      <w:proofErr w:type="spellStart"/>
      <w:proofErr w:type="gramStart"/>
      <w:r w:rsidRPr="00B935F1">
        <w:rPr>
          <w:rFonts w:ascii="Garamond" w:hAnsi="Garamond"/>
          <w:i/>
          <w:color w:val="000000" w:themeColor="text1"/>
        </w:rPr>
        <w:t>essential</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bodily</w:t>
      </w:r>
      <w:proofErr w:type="spellEnd"/>
      <w:proofErr w:type="gramEnd"/>
      <w:r w:rsidRPr="00B935F1">
        <w:rPr>
          <w:rFonts w:ascii="Garamond" w:hAnsi="Garamond"/>
          <w:i/>
          <w:color w:val="000000" w:themeColor="text1"/>
        </w:rPr>
        <w:t xml:space="preserve">  </w:t>
      </w:r>
      <w:proofErr w:type="spellStart"/>
      <w:r w:rsidRPr="00B935F1">
        <w:rPr>
          <w:rFonts w:ascii="Garamond" w:hAnsi="Garamond"/>
          <w:i/>
          <w:color w:val="000000" w:themeColor="text1"/>
        </w:rPr>
        <w:t>functions</w:t>
      </w:r>
      <w:proofErr w:type="spellEnd"/>
      <w:r w:rsidRPr="00B935F1">
        <w:rPr>
          <w:rFonts w:ascii="Garamond" w:hAnsi="Garamond"/>
          <w:i/>
          <w:color w:val="000000" w:themeColor="text1"/>
        </w:rPr>
        <w:t xml:space="preserve">  of  human </w:t>
      </w:r>
      <w:proofErr w:type="spellStart"/>
      <w:r w:rsidRPr="00B935F1">
        <w:rPr>
          <w:rFonts w:ascii="Garamond" w:hAnsi="Garamond"/>
          <w:i/>
          <w:color w:val="000000" w:themeColor="text1"/>
        </w:rPr>
        <w:t>beings</w:t>
      </w:r>
      <w:proofErr w:type="spellEnd"/>
      <w:r w:rsidRPr="00B935F1">
        <w:rPr>
          <w:rFonts w:ascii="Garamond" w:hAnsi="Garamond"/>
          <w:color w:val="000000" w:themeColor="text1"/>
        </w:rPr>
        <w:t xml:space="preserve">». </w:t>
      </w:r>
      <w:r w:rsidRPr="00156101">
        <w:rPr>
          <w:rFonts w:ascii="Garamond" w:hAnsi="Garamond"/>
          <w:color w:val="000000" w:themeColor="text1"/>
        </w:rPr>
        <w:t>Corte dei diritti dell'Uomo, Sentenza del 20/09/2022, La sterilizzazione della paziente senza il suo consenso informato configura una violazione dell’art. 8 CEDU</w:t>
      </w:r>
      <w:r w:rsidRPr="00B935F1">
        <w:rPr>
          <w:rFonts w:ascii="Garamond" w:hAnsi="Garamond"/>
          <w:color w:val="000000" w:themeColor="text1"/>
        </w:rPr>
        <w:t xml:space="preserve">, in </w:t>
      </w:r>
      <w:r w:rsidR="00AA656C" w:rsidRPr="00156101">
        <w:rPr>
          <w:rFonts w:ascii="Garamond" w:hAnsi="Garamond"/>
          <w:i/>
          <w:color w:val="000000" w:themeColor="text1"/>
        </w:rPr>
        <w:t>f</w:t>
      </w:r>
      <w:r w:rsidRPr="00B935F1">
        <w:rPr>
          <w:rFonts w:ascii="Garamond" w:hAnsi="Garamond"/>
          <w:i/>
          <w:color w:val="000000" w:themeColor="text1"/>
        </w:rPr>
        <w:t>ederalismi</w:t>
      </w:r>
      <w:r w:rsidRPr="00B935F1">
        <w:rPr>
          <w:rFonts w:ascii="Garamond" w:hAnsi="Garamond"/>
          <w:color w:val="000000" w:themeColor="text1"/>
        </w:rPr>
        <w:t xml:space="preserve">, 2022. </w:t>
      </w:r>
      <w:r w:rsidRPr="00156101">
        <w:rPr>
          <w:rFonts w:ascii="Garamond" w:hAnsi="Garamond"/>
          <w:color w:val="000000" w:themeColor="text1"/>
          <w:lang w:val="en-US"/>
        </w:rPr>
        <w:t xml:space="preserve">Come </w:t>
      </w:r>
      <w:proofErr w:type="spellStart"/>
      <w:r w:rsidRPr="00156101">
        <w:rPr>
          <w:rFonts w:ascii="Garamond" w:hAnsi="Garamond"/>
          <w:color w:val="000000" w:themeColor="text1"/>
          <w:lang w:val="en-US"/>
        </w:rPr>
        <w:t>evidenziato</w:t>
      </w:r>
      <w:proofErr w:type="spellEnd"/>
      <w:r w:rsidRPr="00156101">
        <w:rPr>
          <w:rFonts w:ascii="Garamond" w:hAnsi="Garamond"/>
          <w:color w:val="000000" w:themeColor="text1"/>
          <w:lang w:val="en-US"/>
        </w:rPr>
        <w:t xml:space="preserve"> in </w:t>
      </w:r>
      <w:proofErr w:type="spellStart"/>
      <w:r w:rsidRPr="00156101">
        <w:rPr>
          <w:rFonts w:ascii="Garamond" w:hAnsi="Garamond"/>
          <w:color w:val="000000" w:themeColor="text1"/>
          <w:lang w:val="en-US"/>
        </w:rPr>
        <w:t>dottrina</w:t>
      </w:r>
      <w:proofErr w:type="spellEnd"/>
      <w:r w:rsidRPr="00156101">
        <w:rPr>
          <w:rFonts w:ascii="Garamond" w:hAnsi="Garamond"/>
          <w:color w:val="000000" w:themeColor="text1"/>
          <w:lang w:val="en-US"/>
        </w:rPr>
        <w:t xml:space="preserve">, tale </w:t>
      </w:r>
      <w:proofErr w:type="spellStart"/>
      <w:r w:rsidRPr="00156101">
        <w:rPr>
          <w:rFonts w:ascii="Garamond" w:hAnsi="Garamond"/>
          <w:color w:val="000000" w:themeColor="text1"/>
          <w:lang w:val="en-US"/>
        </w:rPr>
        <w:t>pronuncia</w:t>
      </w:r>
      <w:proofErr w:type="spellEnd"/>
      <w:r w:rsidRPr="00156101">
        <w:rPr>
          <w:rFonts w:ascii="Garamond" w:hAnsi="Garamond"/>
          <w:color w:val="000000" w:themeColor="text1"/>
          <w:lang w:val="en-US"/>
        </w:rPr>
        <w:t xml:space="preserve"> ha </w:t>
      </w:r>
      <w:proofErr w:type="spellStart"/>
      <w:r w:rsidRPr="00156101">
        <w:rPr>
          <w:rFonts w:ascii="Garamond" w:hAnsi="Garamond"/>
          <w:color w:val="000000" w:themeColor="text1"/>
          <w:lang w:val="en-US"/>
        </w:rPr>
        <w:t>anche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chiarito</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che</w:t>
      </w:r>
      <w:proofErr w:type="spellEnd"/>
      <w:r w:rsidRPr="00156101">
        <w:rPr>
          <w:rFonts w:ascii="Garamond" w:hAnsi="Garamond"/>
          <w:color w:val="000000" w:themeColor="text1"/>
          <w:lang w:val="en-US"/>
        </w:rPr>
        <w:t xml:space="preserve"> un </w:t>
      </w:r>
      <w:proofErr w:type="spellStart"/>
      <w:r w:rsidRPr="00156101">
        <w:rPr>
          <w:rFonts w:ascii="Garamond" w:hAnsi="Garamond"/>
          <w:color w:val="000000" w:themeColor="text1"/>
          <w:lang w:val="en-US"/>
        </w:rPr>
        <w:t>trattamento</w:t>
      </w:r>
      <w:proofErr w:type="spellEnd"/>
      <w:r w:rsidRPr="00156101">
        <w:rPr>
          <w:rFonts w:ascii="Garamond" w:hAnsi="Garamond"/>
          <w:color w:val="000000" w:themeColor="text1"/>
          <w:lang w:val="en-US"/>
        </w:rPr>
        <w:t xml:space="preserve"> è </w:t>
      </w:r>
      <w:proofErr w:type="spellStart"/>
      <w:r w:rsidRPr="00156101">
        <w:rPr>
          <w:rFonts w:ascii="Garamond" w:hAnsi="Garamond"/>
          <w:color w:val="000000" w:themeColor="text1"/>
          <w:lang w:val="en-US"/>
        </w:rPr>
        <w:t>inumano</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quando</w:t>
      </w:r>
      <w:proofErr w:type="spellEnd"/>
      <w:r w:rsidRPr="00156101">
        <w:rPr>
          <w:rFonts w:ascii="Garamond" w:hAnsi="Garamond"/>
          <w:color w:val="000000" w:themeColor="text1"/>
          <w:lang w:val="en-US"/>
        </w:rPr>
        <w:t xml:space="preserve"> «</w:t>
      </w:r>
      <w:r w:rsidRPr="00156101">
        <w:rPr>
          <w:rFonts w:ascii="Garamond" w:hAnsi="Garamond"/>
          <w:i/>
          <w:iCs/>
          <w:color w:val="000000" w:themeColor="text1"/>
          <w:lang w:val="en-US"/>
        </w:rPr>
        <w:t>applied for hours at a stretch and caused either actual bodily injury or intense physical and mental suffering</w:t>
      </w:r>
      <w:r w:rsidRPr="00156101">
        <w:rPr>
          <w:rFonts w:ascii="Garamond" w:hAnsi="Garamond"/>
          <w:iCs/>
          <w:color w:val="000000" w:themeColor="text1"/>
          <w:lang w:val="en-US"/>
        </w:rPr>
        <w:t>»</w:t>
      </w:r>
      <w:r w:rsidRPr="00156101">
        <w:rPr>
          <w:rFonts w:ascii="Garamond" w:hAnsi="Garamond"/>
          <w:color w:val="000000" w:themeColor="text1"/>
          <w:lang w:val="en-US"/>
        </w:rPr>
        <w:t xml:space="preserve"> e </w:t>
      </w:r>
      <w:proofErr w:type="spellStart"/>
      <w:r w:rsidRPr="00156101">
        <w:rPr>
          <w:rFonts w:ascii="Garamond" w:hAnsi="Garamond"/>
          <w:color w:val="000000" w:themeColor="text1"/>
          <w:lang w:val="en-US"/>
        </w:rPr>
        <w:t>degradante</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nel</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caso</w:t>
      </w:r>
      <w:proofErr w:type="spellEnd"/>
      <w:r w:rsidRPr="00156101">
        <w:rPr>
          <w:rFonts w:ascii="Garamond" w:hAnsi="Garamond"/>
          <w:color w:val="000000" w:themeColor="text1"/>
          <w:lang w:val="en-US"/>
        </w:rPr>
        <w:t xml:space="preserve"> in cui «</w:t>
      </w:r>
      <w:r w:rsidRPr="00156101">
        <w:rPr>
          <w:rFonts w:ascii="Garamond" w:hAnsi="Garamond"/>
          <w:i/>
          <w:iCs/>
          <w:color w:val="000000" w:themeColor="text1"/>
          <w:lang w:val="en-US"/>
        </w:rPr>
        <w:t>it was such as to arouse in its victims feelings of fear, anguish and inferiority capable of humiliating and debasing them and possibly breaking their physical or moral resistance, or when it was such as to drive the victim to act against his will or conscience</w:t>
      </w:r>
      <w:r w:rsidRPr="00156101">
        <w:rPr>
          <w:rFonts w:ascii="Garamond" w:hAnsi="Garamond"/>
          <w:iCs/>
          <w:color w:val="000000" w:themeColor="text1"/>
          <w:lang w:val="en-US"/>
        </w:rPr>
        <w:t>»</w:t>
      </w:r>
      <w:r w:rsidRPr="00156101">
        <w:rPr>
          <w:rFonts w:ascii="Garamond" w:hAnsi="Garamond"/>
          <w:color w:val="000000" w:themeColor="text1"/>
          <w:lang w:val="en-US"/>
        </w:rPr>
        <w:t xml:space="preserve">. </w:t>
      </w:r>
      <w:r w:rsidRPr="00B935F1">
        <w:rPr>
          <w:rFonts w:ascii="Garamond" w:hAnsi="Garamond"/>
          <w:smallCaps/>
          <w:color w:val="000000" w:themeColor="text1"/>
        </w:rPr>
        <w:t>G. Alessi</w:t>
      </w:r>
      <w:r w:rsidRPr="00B935F1">
        <w:rPr>
          <w:rFonts w:ascii="Garamond" w:hAnsi="Garamond"/>
          <w:color w:val="000000" w:themeColor="text1"/>
        </w:rPr>
        <w:t xml:space="preserve">, </w:t>
      </w:r>
      <w:r w:rsidRPr="00B935F1">
        <w:rPr>
          <w:rFonts w:ascii="Garamond" w:hAnsi="Garamond"/>
          <w:i/>
          <w:color w:val="000000" w:themeColor="text1"/>
        </w:rPr>
        <w:t>Corte Europea dei Diritti dell’Uomo – Y.P. v. Russia: sterilizzazione senza il consenso del paziente</w:t>
      </w:r>
      <w:r w:rsidRPr="00B935F1">
        <w:rPr>
          <w:rFonts w:ascii="Garamond" w:hAnsi="Garamond"/>
          <w:color w:val="000000" w:themeColor="text1"/>
        </w:rPr>
        <w:t xml:space="preserve">, in </w:t>
      </w:r>
      <w:r w:rsidRPr="00B935F1">
        <w:rPr>
          <w:rFonts w:ascii="Garamond" w:hAnsi="Garamond"/>
          <w:i/>
          <w:color w:val="000000" w:themeColor="text1"/>
        </w:rPr>
        <w:t>Biodiritto</w:t>
      </w:r>
      <w:r w:rsidRPr="00B935F1">
        <w:rPr>
          <w:rFonts w:ascii="Garamond" w:hAnsi="Garamond"/>
          <w:color w:val="000000" w:themeColor="text1"/>
        </w:rPr>
        <w:t>,</w:t>
      </w:r>
      <w:r w:rsidRPr="00B935F1">
        <w:rPr>
          <w:rFonts w:ascii="Garamond" w:hAnsi="Garamond"/>
          <w:i/>
          <w:color w:val="000000" w:themeColor="text1"/>
        </w:rPr>
        <w:t xml:space="preserve"> </w:t>
      </w:r>
      <w:r w:rsidRPr="00B935F1">
        <w:rPr>
          <w:rFonts w:ascii="Garamond" w:hAnsi="Garamond"/>
          <w:color w:val="000000" w:themeColor="text1"/>
        </w:rPr>
        <w:t xml:space="preserve">2022. </w:t>
      </w:r>
      <w:bookmarkStart w:id="6" w:name="To"/>
      <w:r w:rsidRPr="00B935F1">
        <w:rPr>
          <w:rFonts w:ascii="Garamond" w:hAnsi="Garamond"/>
          <w:color w:val="000000" w:themeColor="text1"/>
        </w:rPr>
        <w:t xml:space="preserve">In passato, la Corte ha anche ravvisato la violazione dell’art. 8 da parte dello Stato nel caso in cui esso non garantisca un risarcimento adeguato nei confronti del paziente vittima del danno all’integrità fisica causato da errore medico. </w:t>
      </w:r>
      <w:bookmarkEnd w:id="6"/>
      <w:r w:rsidRPr="00156101">
        <w:rPr>
          <w:rFonts w:ascii="Garamond" w:hAnsi="Garamond"/>
          <w:color w:val="000000" w:themeColor="text1"/>
          <w:lang w:val="en-US"/>
        </w:rPr>
        <w:t xml:space="preserve">Judgment of the European Court of Human Rights of 2 </w:t>
      </w:r>
      <w:proofErr w:type="spellStart"/>
      <w:r w:rsidRPr="00156101">
        <w:rPr>
          <w:rFonts w:ascii="Garamond" w:hAnsi="Garamond"/>
          <w:color w:val="000000" w:themeColor="text1"/>
          <w:lang w:val="en-US"/>
        </w:rPr>
        <w:t>june</w:t>
      </w:r>
      <w:proofErr w:type="spellEnd"/>
      <w:r w:rsidRPr="00156101">
        <w:rPr>
          <w:rFonts w:ascii="Garamond" w:hAnsi="Garamond"/>
          <w:color w:val="000000" w:themeColor="text1"/>
          <w:lang w:val="en-US"/>
        </w:rPr>
        <w:t xml:space="preserve"> 2009, application no. 31675/04,</w:t>
      </w:r>
      <w:r w:rsidRPr="00156101">
        <w:rPr>
          <w:rFonts w:ascii="Garamond" w:hAnsi="Garamond"/>
          <w:i/>
          <w:color w:val="000000" w:themeColor="text1"/>
          <w:lang w:val="en-US"/>
        </w:rPr>
        <w:t xml:space="preserve"> </w:t>
      </w:r>
      <w:proofErr w:type="spellStart"/>
      <w:r w:rsidRPr="00156101">
        <w:rPr>
          <w:rFonts w:ascii="Garamond" w:hAnsi="Garamond"/>
          <w:i/>
          <w:color w:val="000000" w:themeColor="text1"/>
          <w:lang w:val="en-US"/>
        </w:rPr>
        <w:t>Codarcea</w:t>
      </w:r>
      <w:proofErr w:type="spellEnd"/>
      <w:r w:rsidRPr="00156101">
        <w:rPr>
          <w:rFonts w:ascii="Garamond" w:hAnsi="Garamond"/>
          <w:i/>
          <w:color w:val="000000" w:themeColor="text1"/>
          <w:lang w:val="en-US"/>
        </w:rPr>
        <w:t xml:space="preserve"> v. Romania</w:t>
      </w:r>
      <w:r w:rsidRPr="00156101">
        <w:rPr>
          <w:rFonts w:ascii="Garamond" w:hAnsi="Garamond"/>
          <w:color w:val="000000" w:themeColor="text1"/>
          <w:lang w:val="en-US"/>
        </w:rPr>
        <w:t xml:space="preserve">. </w:t>
      </w:r>
      <w:r w:rsidRPr="00B935F1">
        <w:rPr>
          <w:rFonts w:ascii="Garamond" w:hAnsi="Garamond"/>
          <w:color w:val="000000" w:themeColor="text1"/>
        </w:rPr>
        <w:t>In altri casi, più “</w:t>
      </w:r>
      <w:r w:rsidRPr="00B935F1">
        <w:rPr>
          <w:rFonts w:ascii="Garamond" w:hAnsi="Garamond"/>
          <w:i/>
          <w:color w:val="000000" w:themeColor="text1"/>
        </w:rPr>
        <w:t>borderline</w:t>
      </w:r>
      <w:r w:rsidRPr="00B935F1">
        <w:rPr>
          <w:rFonts w:ascii="Garamond" w:hAnsi="Garamond"/>
          <w:color w:val="000000" w:themeColor="text1"/>
        </w:rPr>
        <w:t xml:space="preserve">”, la Corte ha affrontato la spinosa tematica dei trattamenti sanitari obbligatori disposti nei confronti delle persone assoggettate a misure di protezione, riscontrando una violazione dell’integrità fisica </w:t>
      </w:r>
      <w:r w:rsidRPr="00B935F1">
        <w:rPr>
          <w:rFonts w:ascii="Garamond" w:hAnsi="Garamond"/>
          <w:i/>
          <w:color w:val="000000" w:themeColor="text1"/>
        </w:rPr>
        <w:t>ex</w:t>
      </w:r>
      <w:r w:rsidRPr="00B935F1">
        <w:rPr>
          <w:rFonts w:ascii="Garamond" w:hAnsi="Garamond"/>
          <w:color w:val="000000" w:themeColor="text1"/>
        </w:rPr>
        <w:t xml:space="preserve"> art. 8 CEDU, quando l’intervento medico è in contrasto con la volontà espressa dal paziente. </w:t>
      </w:r>
      <w:r w:rsidRPr="00156101">
        <w:rPr>
          <w:rFonts w:ascii="Garamond" w:hAnsi="Garamond"/>
          <w:color w:val="000000" w:themeColor="text1"/>
          <w:lang w:val="en-US"/>
        </w:rPr>
        <w:t xml:space="preserve">Judgment of the European Court of Human Rights of 3 </w:t>
      </w:r>
      <w:proofErr w:type="spellStart"/>
      <w:r w:rsidRPr="00156101">
        <w:rPr>
          <w:rFonts w:ascii="Garamond" w:hAnsi="Garamond"/>
          <w:color w:val="000000" w:themeColor="text1"/>
          <w:lang w:val="en-US"/>
        </w:rPr>
        <w:t>july</w:t>
      </w:r>
      <w:proofErr w:type="spellEnd"/>
      <w:r w:rsidRPr="00156101">
        <w:rPr>
          <w:rFonts w:ascii="Garamond" w:hAnsi="Garamond"/>
          <w:color w:val="000000" w:themeColor="text1"/>
          <w:lang w:val="en-US"/>
        </w:rPr>
        <w:t xml:space="preserve"> 2012, application no. 34806/04</w:t>
      </w:r>
      <w:r w:rsidRPr="00156101">
        <w:rPr>
          <w:rFonts w:ascii="Garamond" w:hAnsi="Garamond"/>
          <w:i/>
          <w:color w:val="000000" w:themeColor="text1"/>
          <w:lang w:val="en-US"/>
        </w:rPr>
        <w:t>, X v. Finland</w:t>
      </w:r>
      <w:r w:rsidRPr="00156101">
        <w:rPr>
          <w:rFonts w:ascii="Garamond" w:hAnsi="Garamond"/>
          <w:iCs/>
          <w:color w:val="000000" w:themeColor="text1"/>
          <w:lang w:val="en-US"/>
        </w:rPr>
        <w:t>.</w:t>
      </w:r>
    </w:p>
  </w:footnote>
  <w:footnote w:id="92">
    <w:p w14:paraId="491E799C" w14:textId="18EE3EF0" w:rsidR="006B1761" w:rsidRPr="00156101" w:rsidRDefault="006B1761" w:rsidP="00B67169">
      <w:pPr>
        <w:pStyle w:val="Testonotaapidipagina"/>
        <w:jc w:val="both"/>
        <w:rPr>
          <w:rFonts w:ascii="Garamond" w:hAnsi="Garamond"/>
          <w:i/>
          <w:iCs/>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Il concetto di salute, (perlomeno) se considerato all’interno dei contesti emergenziali internazionali, sembra allontanarsi dalla concezione individuale di diritto fondamentale «</w:t>
      </w:r>
      <w:r w:rsidRPr="00B935F1">
        <w:rPr>
          <w:rFonts w:ascii="Garamond" w:hAnsi="Garamond"/>
          <w:i/>
          <w:color w:val="000000" w:themeColor="text1"/>
        </w:rPr>
        <w:t>di ogni essere umano</w:t>
      </w:r>
      <w:r w:rsidRPr="00B935F1">
        <w:rPr>
          <w:rFonts w:ascii="Garamond" w:hAnsi="Garamond"/>
          <w:color w:val="000000" w:themeColor="text1"/>
        </w:rPr>
        <w:t xml:space="preserve">», (come recita il preambolo della Costituzione dell’OMS), potendo, infatti, quest’ultimo (inteso nel suo aspetto di autodeterminazione ai trattamenti sanitari) costituire oggetto di alcune deroghe (se necessarie e giustificate) funzionali a tutelare la salute come bene comune della collettività. Con particolare riferimento all’immunizzazione contro il Covid-19 e ai conflitti armati, spicca a livello internazionale, la nota Risoluzione S/RES/2565 (2021), con la quale il Consiglio di Sicurezza dell’ONU (pur non menzionando espressamente i vaccini nell’inciso) ha qualificato </w:t>
      </w:r>
      <w:r w:rsidR="005220D4" w:rsidRPr="00B935F1">
        <w:rPr>
          <w:rFonts w:ascii="Garamond" w:hAnsi="Garamond"/>
          <w:color w:val="000000" w:themeColor="text1"/>
        </w:rPr>
        <w:t xml:space="preserve">                     </w:t>
      </w:r>
      <w:r w:rsidRPr="00B935F1">
        <w:rPr>
          <w:rFonts w:ascii="Garamond" w:hAnsi="Garamond"/>
          <w:color w:val="000000" w:themeColor="text1"/>
        </w:rPr>
        <w:t>«</w:t>
      </w:r>
      <w:r w:rsidRPr="00B935F1">
        <w:rPr>
          <w:rFonts w:ascii="Garamond" w:hAnsi="Garamond"/>
          <w:i/>
          <w:color w:val="000000" w:themeColor="text1"/>
        </w:rPr>
        <w:t xml:space="preserve">the </w:t>
      </w:r>
      <w:proofErr w:type="spellStart"/>
      <w:r w:rsidRPr="00B935F1">
        <w:rPr>
          <w:rFonts w:ascii="Garamond" w:hAnsi="Garamond"/>
          <w:i/>
          <w:color w:val="000000" w:themeColor="text1"/>
        </w:rPr>
        <w:t>role</w:t>
      </w:r>
      <w:proofErr w:type="spellEnd"/>
      <w:r w:rsidRPr="00B935F1">
        <w:rPr>
          <w:rFonts w:ascii="Garamond" w:hAnsi="Garamond"/>
          <w:i/>
          <w:color w:val="000000" w:themeColor="text1"/>
        </w:rPr>
        <w:t xml:space="preserve"> of </w:t>
      </w:r>
      <w:proofErr w:type="spellStart"/>
      <w:r w:rsidRPr="00B935F1">
        <w:rPr>
          <w:rFonts w:ascii="Garamond" w:hAnsi="Garamond"/>
          <w:i/>
          <w:color w:val="000000" w:themeColor="text1"/>
        </w:rPr>
        <w:t>extensive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immunisation</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against</w:t>
      </w:r>
      <w:proofErr w:type="spellEnd"/>
      <w:r w:rsidRPr="00B935F1">
        <w:rPr>
          <w:rFonts w:ascii="Garamond" w:hAnsi="Garamond"/>
          <w:i/>
          <w:color w:val="000000" w:themeColor="text1"/>
        </w:rPr>
        <w:t xml:space="preserve"> COVID-19 </w:t>
      </w:r>
      <w:proofErr w:type="spellStart"/>
      <w:r w:rsidRPr="00B935F1">
        <w:rPr>
          <w:rFonts w:ascii="Garamond" w:hAnsi="Garamond"/>
          <w:i/>
          <w:color w:val="000000" w:themeColor="text1"/>
        </w:rPr>
        <w:t>as</w:t>
      </w:r>
      <w:proofErr w:type="spellEnd"/>
      <w:r w:rsidRPr="00B935F1">
        <w:rPr>
          <w:rFonts w:ascii="Garamond" w:hAnsi="Garamond"/>
          <w:i/>
          <w:color w:val="000000" w:themeColor="text1"/>
        </w:rPr>
        <w:t xml:space="preserve"> a global public good for health in </w:t>
      </w:r>
      <w:proofErr w:type="spellStart"/>
      <w:r w:rsidRPr="00B935F1">
        <w:rPr>
          <w:rFonts w:ascii="Garamond" w:hAnsi="Garamond"/>
          <w:i/>
          <w:color w:val="000000" w:themeColor="text1"/>
        </w:rPr>
        <w:t>preventing</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containing</w:t>
      </w:r>
      <w:proofErr w:type="spellEnd"/>
      <w:r w:rsidRPr="00B935F1">
        <w:rPr>
          <w:rFonts w:ascii="Garamond" w:hAnsi="Garamond"/>
          <w:i/>
          <w:color w:val="000000" w:themeColor="text1"/>
        </w:rPr>
        <w:t xml:space="preserve">, and </w:t>
      </w:r>
      <w:proofErr w:type="spellStart"/>
      <w:r w:rsidRPr="00B935F1">
        <w:rPr>
          <w:rFonts w:ascii="Garamond" w:hAnsi="Garamond"/>
          <w:i/>
          <w:color w:val="000000" w:themeColor="text1"/>
        </w:rPr>
        <w:t>stopping</w:t>
      </w:r>
      <w:proofErr w:type="spellEnd"/>
      <w:r w:rsidRPr="00B935F1">
        <w:rPr>
          <w:rFonts w:ascii="Garamond" w:hAnsi="Garamond"/>
          <w:i/>
          <w:color w:val="000000" w:themeColor="text1"/>
        </w:rPr>
        <w:t xml:space="preserve"> transmission, of COVID-19 and </w:t>
      </w:r>
      <w:proofErr w:type="spellStart"/>
      <w:r w:rsidRPr="00B935F1">
        <w:rPr>
          <w:rFonts w:ascii="Garamond" w:hAnsi="Garamond"/>
          <w:i/>
          <w:color w:val="000000" w:themeColor="text1"/>
        </w:rPr>
        <w:t>its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variant</w:t>
      </w:r>
      <w:proofErr w:type="spellEnd"/>
      <w:r w:rsidRPr="00B935F1">
        <w:rPr>
          <w:rFonts w:ascii="Garamond" w:hAnsi="Garamond"/>
          <w:i/>
          <w:color w:val="000000" w:themeColor="text1"/>
        </w:rPr>
        <w:t xml:space="preserve"> strains, in order to </w:t>
      </w:r>
      <w:proofErr w:type="spellStart"/>
      <w:r w:rsidRPr="00B935F1">
        <w:rPr>
          <w:rFonts w:ascii="Garamond" w:hAnsi="Garamond"/>
          <w:i/>
          <w:color w:val="000000" w:themeColor="text1"/>
        </w:rPr>
        <w:t>bring</w:t>
      </w:r>
      <w:proofErr w:type="spellEnd"/>
      <w:r w:rsidRPr="00B935F1">
        <w:rPr>
          <w:rFonts w:ascii="Garamond" w:hAnsi="Garamond"/>
          <w:i/>
          <w:color w:val="000000" w:themeColor="text1"/>
        </w:rPr>
        <w:t xml:space="preserve"> the pandemic to an end</w:t>
      </w:r>
      <w:r w:rsidRPr="00B935F1">
        <w:rPr>
          <w:rFonts w:ascii="Garamond" w:hAnsi="Garamond"/>
          <w:color w:val="000000" w:themeColor="text1"/>
        </w:rPr>
        <w:t xml:space="preserve"> (…)», reiterando l’invito della precedente Risoluzione n. 2532/2020, in cui lo stesso organo chiedeva alle parti dei conflitti armati un cessate il fuoco globale, oltre a richiamare le risoluzioni con cui l’Assemblea generale dell’ONU raccomandava agli Stati membri una «</w:t>
      </w:r>
      <w:proofErr w:type="spellStart"/>
      <w:r w:rsidRPr="00B935F1">
        <w:rPr>
          <w:rFonts w:ascii="Garamond" w:hAnsi="Garamond"/>
          <w:i/>
          <w:color w:val="000000" w:themeColor="text1"/>
        </w:rPr>
        <w:t>intensified</w:t>
      </w:r>
      <w:proofErr w:type="spellEnd"/>
      <w:r w:rsidRPr="00B935F1">
        <w:rPr>
          <w:rFonts w:ascii="Garamond" w:hAnsi="Garamond"/>
          <w:i/>
          <w:color w:val="000000" w:themeColor="text1"/>
        </w:rPr>
        <w:t xml:space="preserve"> international </w:t>
      </w:r>
      <w:proofErr w:type="spellStart"/>
      <w:r w:rsidRPr="00B935F1">
        <w:rPr>
          <w:rFonts w:ascii="Garamond" w:hAnsi="Garamond"/>
          <w:i/>
          <w:color w:val="000000" w:themeColor="text1"/>
        </w:rPr>
        <w:t>cooperation</w:t>
      </w:r>
      <w:proofErr w:type="spellEnd"/>
      <w:r w:rsidRPr="00B935F1">
        <w:rPr>
          <w:rFonts w:ascii="Garamond" w:hAnsi="Garamond"/>
          <w:color w:val="000000" w:themeColor="text1"/>
        </w:rPr>
        <w:t>» con riferimento alla sfida globale del Covid-19. È poi importante evidenziare come nella richiamata risoluzione n. 2532/2020, il Consiglio di Sicurezza dell’ONU aveva caratterizzato il Covid-19 come «</w:t>
      </w:r>
      <w:proofErr w:type="spellStart"/>
      <w:r w:rsidRPr="00B935F1">
        <w:rPr>
          <w:rFonts w:ascii="Garamond" w:hAnsi="Garamond"/>
          <w:i/>
          <w:color w:val="000000" w:themeColor="text1"/>
        </w:rPr>
        <w:t>likely</w:t>
      </w:r>
      <w:proofErr w:type="spellEnd"/>
      <w:r w:rsidRPr="00B935F1">
        <w:rPr>
          <w:rFonts w:ascii="Garamond" w:hAnsi="Garamond"/>
          <w:i/>
          <w:color w:val="000000" w:themeColor="text1"/>
        </w:rPr>
        <w:t xml:space="preserve"> to </w:t>
      </w:r>
      <w:proofErr w:type="spellStart"/>
      <w:r w:rsidRPr="00B935F1">
        <w:rPr>
          <w:rFonts w:ascii="Garamond" w:hAnsi="Garamond"/>
          <w:i/>
          <w:color w:val="000000" w:themeColor="text1"/>
        </w:rPr>
        <w:t>endanger</w:t>
      </w:r>
      <w:proofErr w:type="spellEnd"/>
      <w:r w:rsidRPr="00B935F1">
        <w:rPr>
          <w:rFonts w:ascii="Garamond" w:hAnsi="Garamond"/>
          <w:i/>
          <w:color w:val="000000" w:themeColor="text1"/>
        </w:rPr>
        <w:t xml:space="preserve"> the </w:t>
      </w:r>
      <w:proofErr w:type="spellStart"/>
      <w:r w:rsidRPr="00B935F1">
        <w:rPr>
          <w:rFonts w:ascii="Garamond" w:hAnsi="Garamond"/>
          <w:i/>
          <w:color w:val="000000" w:themeColor="text1"/>
        </w:rPr>
        <w:t>maintenance</w:t>
      </w:r>
      <w:proofErr w:type="spellEnd"/>
      <w:r w:rsidRPr="00B935F1">
        <w:rPr>
          <w:rFonts w:ascii="Garamond" w:hAnsi="Garamond"/>
          <w:i/>
          <w:color w:val="000000" w:themeColor="text1"/>
        </w:rPr>
        <w:t xml:space="preserve"> of international peace and security</w:t>
      </w:r>
      <w:r w:rsidRPr="00B935F1">
        <w:rPr>
          <w:rFonts w:ascii="Garamond" w:hAnsi="Garamond"/>
          <w:color w:val="000000" w:themeColor="text1"/>
        </w:rPr>
        <w:t>», più timidamente di quanto non fece lo stesso organo, con la risoluzione n. 2177/2014 in risposta all’epidemia da Ebola in Africa occidentale, laddove (al paragrafo 5) aveva definito più nettamente l’emergenza sanitaria «</w:t>
      </w:r>
      <w:r w:rsidRPr="00B935F1">
        <w:rPr>
          <w:rFonts w:ascii="Garamond" w:hAnsi="Garamond"/>
          <w:i/>
          <w:color w:val="000000" w:themeColor="text1"/>
        </w:rPr>
        <w:t xml:space="preserve">a </w:t>
      </w:r>
      <w:proofErr w:type="spellStart"/>
      <w:r w:rsidRPr="00B935F1">
        <w:rPr>
          <w:rFonts w:ascii="Garamond" w:hAnsi="Garamond"/>
          <w:i/>
          <w:color w:val="000000" w:themeColor="text1"/>
        </w:rPr>
        <w:t>threat</w:t>
      </w:r>
      <w:proofErr w:type="spellEnd"/>
      <w:r w:rsidRPr="00B935F1">
        <w:rPr>
          <w:rFonts w:ascii="Garamond" w:hAnsi="Garamond"/>
          <w:i/>
          <w:color w:val="000000" w:themeColor="text1"/>
        </w:rPr>
        <w:t xml:space="preserve"> to international peace and security</w:t>
      </w:r>
      <w:r w:rsidRPr="00B935F1">
        <w:rPr>
          <w:rFonts w:ascii="Garamond" w:hAnsi="Garamond"/>
          <w:color w:val="000000" w:themeColor="text1"/>
        </w:rPr>
        <w:t>», trasformandola in una crisi umanitaria internazionale e invitando gli Stati membri a «</w:t>
      </w:r>
      <w:proofErr w:type="spellStart"/>
      <w:r w:rsidRPr="00B935F1">
        <w:rPr>
          <w:rFonts w:ascii="Garamond" w:hAnsi="Garamond"/>
          <w:i/>
          <w:color w:val="000000" w:themeColor="text1"/>
        </w:rPr>
        <w:t>provide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all</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necessary</w:t>
      </w:r>
      <w:proofErr w:type="spellEnd"/>
      <w:r w:rsidRPr="00B935F1">
        <w:rPr>
          <w:rFonts w:ascii="Garamond" w:hAnsi="Garamond"/>
          <w:i/>
          <w:color w:val="000000" w:themeColor="text1"/>
        </w:rPr>
        <w:t xml:space="preserve"> support in </w:t>
      </w:r>
      <w:proofErr w:type="spellStart"/>
      <w:r w:rsidRPr="00B935F1">
        <w:rPr>
          <w:rFonts w:ascii="Garamond" w:hAnsi="Garamond"/>
          <w:i/>
          <w:color w:val="000000" w:themeColor="text1"/>
        </w:rPr>
        <w:t>this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regard</w:t>
      </w:r>
      <w:proofErr w:type="spellEnd"/>
      <w:r w:rsidRPr="00B935F1">
        <w:rPr>
          <w:rFonts w:ascii="Garamond" w:hAnsi="Garamond"/>
          <w:color w:val="000000" w:themeColor="text1"/>
        </w:rPr>
        <w:t xml:space="preserve">» agli Stati colpiti dall’emergenza (par. 12). </w:t>
      </w:r>
      <w:r w:rsidRPr="00B935F1">
        <w:rPr>
          <w:rFonts w:ascii="Garamond" w:hAnsi="Garamond"/>
          <w:color w:val="000000" w:themeColor="text1"/>
          <w:lang w:val="en-US"/>
        </w:rPr>
        <w:t xml:space="preserve">S/RES/2532 (2020). V. </w:t>
      </w:r>
      <w:proofErr w:type="spellStart"/>
      <w:r w:rsidRPr="00B935F1">
        <w:rPr>
          <w:rFonts w:ascii="Garamond" w:hAnsi="Garamond"/>
          <w:color w:val="000000" w:themeColor="text1"/>
          <w:lang w:val="en-US"/>
        </w:rPr>
        <w:t>anche</w:t>
      </w:r>
      <w:proofErr w:type="spellEnd"/>
      <w:r w:rsidRPr="00B935F1">
        <w:rPr>
          <w:rFonts w:ascii="Garamond" w:hAnsi="Garamond"/>
          <w:color w:val="000000" w:themeColor="text1"/>
          <w:lang w:val="en-US"/>
        </w:rPr>
        <w:t xml:space="preserve"> </w:t>
      </w:r>
      <w:r w:rsidRPr="00B935F1">
        <w:rPr>
          <w:rFonts w:ascii="Garamond" w:hAnsi="Garamond"/>
          <w:smallCaps/>
          <w:color w:val="000000" w:themeColor="text1"/>
          <w:lang w:val="en-US"/>
        </w:rPr>
        <w:t xml:space="preserve">I. R. </w:t>
      </w:r>
      <w:proofErr w:type="spellStart"/>
      <w:r w:rsidRPr="00B935F1">
        <w:rPr>
          <w:rFonts w:ascii="Garamond" w:hAnsi="Garamond"/>
          <w:smallCaps/>
          <w:color w:val="000000" w:themeColor="text1"/>
          <w:lang w:val="en-US"/>
        </w:rPr>
        <w:t>Pavone</w:t>
      </w:r>
      <w:proofErr w:type="spellEnd"/>
      <w:r w:rsidRPr="00B935F1">
        <w:rPr>
          <w:rFonts w:ascii="Garamond" w:hAnsi="Garamond"/>
          <w:color w:val="000000" w:themeColor="text1"/>
          <w:lang w:val="en-US"/>
        </w:rPr>
        <w:t xml:space="preserve">, </w:t>
      </w:r>
      <w:r w:rsidRPr="00B935F1">
        <w:rPr>
          <w:rFonts w:ascii="Garamond" w:hAnsi="Garamond"/>
          <w:i/>
          <w:color w:val="000000" w:themeColor="text1"/>
          <w:lang w:val="en-US"/>
        </w:rPr>
        <w:t>“Ebola and the Securitization of Health: United Nations Security Council Resolution 2117/2014 and Its Limits</w:t>
      </w:r>
      <w:r w:rsidRPr="00B935F1">
        <w:rPr>
          <w:rFonts w:ascii="Garamond" w:hAnsi="Garamond"/>
          <w:i/>
          <w:iCs/>
          <w:color w:val="000000" w:themeColor="text1"/>
          <w:lang w:val="en-US"/>
        </w:rPr>
        <w:t>”</w:t>
      </w:r>
      <w:r w:rsidRPr="00B935F1">
        <w:rPr>
          <w:rFonts w:ascii="Garamond" w:hAnsi="Garamond"/>
          <w:color w:val="000000" w:themeColor="text1"/>
          <w:lang w:val="en-US"/>
        </w:rPr>
        <w:t>, in </w:t>
      </w:r>
      <w:r w:rsidRPr="00B935F1">
        <w:rPr>
          <w:rFonts w:ascii="Garamond" w:hAnsi="Garamond"/>
          <w:i/>
          <w:iCs/>
          <w:color w:val="000000" w:themeColor="text1"/>
          <w:lang w:val="en-US"/>
        </w:rPr>
        <w:t>The Governance of Disease Outbreaks. International Health Law: Lessons from the Ebola Crisis and Beyond, </w:t>
      </w:r>
      <w:r w:rsidRPr="00B935F1">
        <w:rPr>
          <w:rFonts w:ascii="Garamond" w:hAnsi="Garamond"/>
          <w:color w:val="000000" w:themeColor="text1"/>
          <w:lang w:val="en-US"/>
        </w:rPr>
        <w:t xml:space="preserve">a </w:t>
      </w:r>
      <w:proofErr w:type="spellStart"/>
      <w:r w:rsidRPr="00B935F1">
        <w:rPr>
          <w:rFonts w:ascii="Garamond" w:hAnsi="Garamond"/>
          <w:color w:val="000000" w:themeColor="text1"/>
          <w:lang w:val="en-US"/>
        </w:rPr>
        <w:t>cura</w:t>
      </w:r>
      <w:proofErr w:type="spellEnd"/>
      <w:r w:rsidRPr="00B935F1">
        <w:rPr>
          <w:rFonts w:ascii="Garamond" w:hAnsi="Garamond"/>
          <w:color w:val="000000" w:themeColor="text1"/>
          <w:lang w:val="en-US"/>
        </w:rPr>
        <w:t xml:space="preserve"> di </w:t>
      </w:r>
      <w:r w:rsidRPr="00B935F1">
        <w:rPr>
          <w:rFonts w:ascii="Garamond" w:hAnsi="Garamond"/>
          <w:smallCaps/>
          <w:color w:val="000000" w:themeColor="text1"/>
          <w:lang w:val="en-US"/>
        </w:rPr>
        <w:t>P.</w:t>
      </w:r>
      <w:r w:rsidRPr="00B935F1">
        <w:rPr>
          <w:rFonts w:ascii="Garamond" w:hAnsi="Garamond"/>
          <w:color w:val="000000" w:themeColor="text1"/>
          <w:lang w:val="en-US"/>
        </w:rPr>
        <w:t xml:space="preserve"> </w:t>
      </w:r>
      <w:r w:rsidRPr="00B935F1">
        <w:rPr>
          <w:rFonts w:ascii="Garamond" w:hAnsi="Garamond"/>
          <w:smallCaps/>
          <w:color w:val="000000" w:themeColor="text1"/>
          <w:lang w:val="en-US"/>
        </w:rPr>
        <w:t>Villareal</w:t>
      </w:r>
      <w:r w:rsidRPr="00B935F1">
        <w:rPr>
          <w:rFonts w:ascii="Garamond" w:hAnsi="Garamond"/>
          <w:color w:val="000000" w:themeColor="text1"/>
          <w:lang w:val="en-US"/>
        </w:rPr>
        <w:t xml:space="preserve"> et al. </w:t>
      </w:r>
      <w:r w:rsidRPr="00B935F1">
        <w:rPr>
          <w:rFonts w:ascii="Garamond" w:hAnsi="Garamond"/>
          <w:smallCaps/>
          <w:color w:val="000000" w:themeColor="text1"/>
        </w:rPr>
        <w:t>I.R. Pavone</w:t>
      </w:r>
      <w:r w:rsidRPr="00B935F1">
        <w:rPr>
          <w:rFonts w:ascii="Garamond" w:hAnsi="Garamond"/>
          <w:color w:val="000000" w:themeColor="text1"/>
        </w:rPr>
        <w:t xml:space="preserve">, </w:t>
      </w:r>
      <w:r w:rsidRPr="00B935F1">
        <w:rPr>
          <w:rFonts w:ascii="Garamond" w:hAnsi="Garamond"/>
          <w:i/>
          <w:iCs/>
          <w:color w:val="000000" w:themeColor="text1"/>
        </w:rPr>
        <w:t xml:space="preserve">La pandemia di covid 19: </w:t>
      </w:r>
      <w:proofErr w:type="spellStart"/>
      <w:r w:rsidRPr="00B935F1">
        <w:rPr>
          <w:rFonts w:ascii="Garamond" w:hAnsi="Garamond"/>
          <w:i/>
          <w:iCs/>
          <w:color w:val="000000" w:themeColor="text1"/>
        </w:rPr>
        <w:t>l’onu</w:t>
      </w:r>
      <w:proofErr w:type="spellEnd"/>
      <w:r w:rsidRPr="00B935F1">
        <w:rPr>
          <w:rFonts w:ascii="Garamond" w:hAnsi="Garamond"/>
          <w:i/>
          <w:iCs/>
          <w:color w:val="000000" w:themeColor="text1"/>
        </w:rPr>
        <w:t xml:space="preserve"> finalmente batte un </w:t>
      </w:r>
      <w:proofErr w:type="gramStart"/>
      <w:r w:rsidRPr="00B935F1">
        <w:rPr>
          <w:rFonts w:ascii="Garamond" w:hAnsi="Garamond"/>
          <w:i/>
          <w:iCs/>
          <w:color w:val="000000" w:themeColor="text1"/>
        </w:rPr>
        <w:t>colpo</w:t>
      </w:r>
      <w:r w:rsidRPr="00B935F1">
        <w:rPr>
          <w:rFonts w:ascii="Garamond" w:hAnsi="Garamond"/>
          <w:color w:val="000000" w:themeColor="text1"/>
        </w:rPr>
        <w:t>?,</w:t>
      </w:r>
      <w:proofErr w:type="gramEnd"/>
      <w:r w:rsidRPr="00B935F1">
        <w:rPr>
          <w:rFonts w:ascii="Garamond" w:hAnsi="Garamond"/>
          <w:color w:val="000000" w:themeColor="text1"/>
        </w:rPr>
        <w:t xml:space="preserve"> in </w:t>
      </w:r>
      <w:proofErr w:type="spellStart"/>
      <w:r w:rsidRPr="00B935F1">
        <w:rPr>
          <w:rFonts w:ascii="Garamond" w:hAnsi="Garamond"/>
          <w:i/>
          <w:iCs/>
          <w:color w:val="000000" w:themeColor="text1"/>
        </w:rPr>
        <w:t>Sidiblog</w:t>
      </w:r>
      <w:proofErr w:type="spellEnd"/>
      <w:r w:rsidRPr="00B935F1">
        <w:rPr>
          <w:rFonts w:ascii="Garamond" w:hAnsi="Garamond"/>
          <w:color w:val="000000" w:themeColor="text1"/>
        </w:rPr>
        <w:t xml:space="preserve">, 2020. </w:t>
      </w:r>
      <w:r w:rsidR="005220D4" w:rsidRPr="00B935F1">
        <w:rPr>
          <w:rFonts w:ascii="Garamond" w:hAnsi="Garamond"/>
          <w:color w:val="000000" w:themeColor="text1"/>
        </w:rPr>
        <w:t xml:space="preserve">                                    </w:t>
      </w:r>
      <w:r w:rsidRPr="00B935F1">
        <w:rPr>
          <w:rFonts w:ascii="Garamond" w:hAnsi="Garamond"/>
          <w:smallCaps/>
          <w:color w:val="000000" w:themeColor="text1"/>
        </w:rPr>
        <w:t>V. Zambrano</w:t>
      </w:r>
      <w:r w:rsidRPr="00B935F1">
        <w:rPr>
          <w:rFonts w:ascii="Garamond" w:hAnsi="Garamond"/>
          <w:color w:val="000000" w:themeColor="text1"/>
        </w:rPr>
        <w:t xml:space="preserve">, </w:t>
      </w:r>
      <w:r w:rsidRPr="00B935F1">
        <w:rPr>
          <w:rFonts w:ascii="Garamond" w:hAnsi="Garamond"/>
          <w:i/>
          <w:color w:val="000000" w:themeColor="text1"/>
        </w:rPr>
        <w:t xml:space="preserve">L’accesso ai vaccini contro il Covid-19 tra i diritti di proprietà intellettuale e i poteri del Consiglio di Sicurezza, </w:t>
      </w:r>
      <w:r w:rsidRPr="00B935F1">
        <w:rPr>
          <w:rFonts w:ascii="Garamond" w:hAnsi="Garamond"/>
          <w:color w:val="000000" w:themeColor="text1"/>
        </w:rPr>
        <w:t xml:space="preserve">in </w:t>
      </w:r>
      <w:r w:rsidRPr="00B935F1">
        <w:rPr>
          <w:rFonts w:ascii="Garamond" w:hAnsi="Garamond"/>
          <w:i/>
          <w:color w:val="000000" w:themeColor="text1"/>
        </w:rPr>
        <w:t>Ordine Internazionale e Diritti Umani</w:t>
      </w:r>
      <w:r w:rsidRPr="00B935F1">
        <w:rPr>
          <w:rFonts w:ascii="Garamond" w:hAnsi="Garamond"/>
          <w:color w:val="000000" w:themeColor="text1"/>
        </w:rPr>
        <w:t>, 2021, pp.</w:t>
      </w:r>
      <w:r w:rsidRPr="00B935F1">
        <w:rPr>
          <w:rFonts w:ascii="Garamond" w:hAnsi="Garamond"/>
          <w:iCs/>
          <w:color w:val="000000" w:themeColor="text1"/>
        </w:rPr>
        <w:t xml:space="preserve"> 692-715. </w:t>
      </w:r>
      <w:r w:rsidRPr="00156101">
        <w:rPr>
          <w:rFonts w:ascii="Garamond" w:hAnsi="Garamond"/>
          <w:iCs/>
          <w:smallCaps/>
          <w:color w:val="000000" w:themeColor="text1"/>
          <w:lang w:val="en-US"/>
        </w:rPr>
        <w:t>S. Negri</w:t>
      </w:r>
      <w:r w:rsidRPr="00156101">
        <w:rPr>
          <w:rFonts w:ascii="Garamond" w:hAnsi="Garamond"/>
          <w:iCs/>
          <w:color w:val="000000" w:themeColor="text1"/>
          <w:lang w:val="en-US"/>
        </w:rPr>
        <w:t xml:space="preserve">, </w:t>
      </w:r>
      <w:r w:rsidRPr="00156101">
        <w:rPr>
          <w:rFonts w:ascii="Garamond" w:hAnsi="Garamond"/>
          <w:i/>
          <w:iCs/>
          <w:color w:val="000000" w:themeColor="text1"/>
          <w:lang w:val="en-US"/>
        </w:rPr>
        <w:t>Introductory Note to United Nations Security Council Resolution 2532 (July 1, 2020)</w:t>
      </w:r>
      <w:r w:rsidRPr="00156101">
        <w:rPr>
          <w:rFonts w:ascii="Garamond" w:hAnsi="Garamond"/>
          <w:iCs/>
          <w:color w:val="000000" w:themeColor="text1"/>
          <w:lang w:val="en-US"/>
        </w:rPr>
        <w:t xml:space="preserve">, in </w:t>
      </w:r>
      <w:r w:rsidRPr="00156101">
        <w:rPr>
          <w:rFonts w:ascii="Garamond" w:hAnsi="Garamond"/>
          <w:i/>
          <w:iCs/>
          <w:color w:val="000000" w:themeColor="text1"/>
          <w:lang w:val="en-US"/>
        </w:rPr>
        <w:t>Int. Leg. Mat.</w:t>
      </w:r>
      <w:r w:rsidRPr="00156101">
        <w:rPr>
          <w:rFonts w:ascii="Garamond" w:hAnsi="Garamond"/>
          <w:iCs/>
          <w:color w:val="000000" w:themeColor="text1"/>
          <w:lang w:val="en-US"/>
        </w:rPr>
        <w:t xml:space="preserve">, 2021, p. 24 e ss. </w:t>
      </w:r>
      <w:r w:rsidRPr="00B935F1">
        <w:rPr>
          <w:rFonts w:ascii="Garamond" w:hAnsi="Garamond"/>
          <w:iCs/>
          <w:smallCaps/>
          <w:color w:val="000000" w:themeColor="text1"/>
        </w:rPr>
        <w:t>A.J. Palma</w:t>
      </w:r>
      <w:r w:rsidRPr="00B935F1">
        <w:rPr>
          <w:rFonts w:ascii="Garamond" w:hAnsi="Garamond"/>
          <w:iCs/>
          <w:color w:val="000000" w:themeColor="text1"/>
        </w:rPr>
        <w:t xml:space="preserve">, </w:t>
      </w:r>
      <w:r w:rsidRPr="00B935F1">
        <w:rPr>
          <w:rFonts w:ascii="Garamond" w:hAnsi="Garamond"/>
          <w:i/>
          <w:iCs/>
          <w:color w:val="000000" w:themeColor="text1"/>
        </w:rPr>
        <w:t>La risoluzione 2565(2021) e la strategia del Consiglio di sicurezza della Nazioni Unite per il contrasto alla pandemia da Covid-19</w:t>
      </w:r>
      <w:r w:rsidRPr="00B935F1">
        <w:rPr>
          <w:rFonts w:ascii="Garamond" w:hAnsi="Garamond"/>
          <w:iCs/>
          <w:color w:val="000000" w:themeColor="text1"/>
        </w:rPr>
        <w:t xml:space="preserve">, </w:t>
      </w:r>
      <w:r w:rsidRPr="00156101">
        <w:rPr>
          <w:rFonts w:ascii="Garamond" w:hAnsi="Garamond"/>
          <w:i/>
          <w:iCs/>
          <w:color w:val="000000" w:themeColor="text1"/>
        </w:rPr>
        <w:t>ivi</w:t>
      </w:r>
      <w:r w:rsidRPr="00AA656C">
        <w:rPr>
          <w:rFonts w:ascii="Garamond" w:hAnsi="Garamond"/>
          <w:i/>
          <w:iCs/>
          <w:color w:val="000000" w:themeColor="text1"/>
        </w:rPr>
        <w:t>,</w:t>
      </w:r>
      <w:r w:rsidRPr="00B935F1">
        <w:rPr>
          <w:rFonts w:ascii="Garamond" w:hAnsi="Garamond"/>
          <w:i/>
          <w:iCs/>
          <w:color w:val="000000" w:themeColor="text1"/>
        </w:rPr>
        <w:t xml:space="preserve"> </w:t>
      </w:r>
      <w:r w:rsidRPr="00B935F1">
        <w:rPr>
          <w:rFonts w:ascii="Garamond" w:hAnsi="Garamond"/>
          <w:iCs/>
          <w:color w:val="000000" w:themeColor="text1"/>
        </w:rPr>
        <w:t xml:space="preserve">2021.                                              </w:t>
      </w:r>
      <w:r w:rsidRPr="00B935F1">
        <w:rPr>
          <w:rFonts w:ascii="Garamond" w:hAnsi="Garamond"/>
          <w:iCs/>
          <w:smallCaps/>
          <w:color w:val="000000" w:themeColor="text1"/>
        </w:rPr>
        <w:t>C. M. Pontecorvo</w:t>
      </w:r>
      <w:r w:rsidRPr="00B935F1">
        <w:rPr>
          <w:rFonts w:ascii="Garamond" w:hAnsi="Garamond"/>
          <w:iCs/>
          <w:color w:val="000000" w:themeColor="text1"/>
        </w:rPr>
        <w:t xml:space="preserve">, </w:t>
      </w:r>
      <w:r w:rsidRPr="00B935F1">
        <w:rPr>
          <w:rFonts w:ascii="Garamond" w:hAnsi="Garamond"/>
          <w:i/>
          <w:iCs/>
          <w:color w:val="000000" w:themeColor="text1"/>
        </w:rPr>
        <w:t>In tema di impatto della pandemia da Covid-19 sulla pace e sicurezza internazionale: il contributo della risoluzione 2565 (2021) del Consiglio di sicurezza delle Nazioni Unite</w:t>
      </w:r>
      <w:r w:rsidRPr="00B935F1">
        <w:rPr>
          <w:rFonts w:ascii="Garamond" w:hAnsi="Garamond"/>
          <w:iCs/>
          <w:color w:val="000000" w:themeColor="text1"/>
        </w:rPr>
        <w:t xml:space="preserve">, </w:t>
      </w:r>
      <w:r w:rsidRPr="00156101">
        <w:rPr>
          <w:rFonts w:ascii="Garamond" w:hAnsi="Garamond"/>
          <w:i/>
          <w:iCs/>
          <w:color w:val="000000" w:themeColor="text1"/>
        </w:rPr>
        <w:t>ivi</w:t>
      </w:r>
      <w:r w:rsidRPr="00B935F1">
        <w:rPr>
          <w:rFonts w:ascii="Garamond" w:hAnsi="Garamond"/>
          <w:iCs/>
          <w:color w:val="000000" w:themeColor="text1"/>
        </w:rPr>
        <w:t xml:space="preserve">, 2021, pp. 568-595. </w:t>
      </w:r>
      <w:r w:rsidRPr="00B935F1">
        <w:rPr>
          <w:rFonts w:ascii="Garamond" w:hAnsi="Garamond"/>
          <w:color w:val="000000" w:themeColor="text1"/>
        </w:rPr>
        <w:t>Più recentemente, anche gli Stati membri del G20 si sono mossi in questa direzione, i quali non solo hanno riconosciuto l’importanza di sostenere i Paesi «</w:t>
      </w:r>
      <w:proofErr w:type="spellStart"/>
      <w:r w:rsidRPr="00B935F1">
        <w:rPr>
          <w:rFonts w:ascii="Garamond" w:hAnsi="Garamond"/>
          <w:i/>
          <w:color w:val="000000" w:themeColor="text1"/>
        </w:rPr>
        <w:t>most</w:t>
      </w:r>
      <w:proofErr w:type="spellEnd"/>
      <w:r w:rsidRPr="00B935F1">
        <w:rPr>
          <w:rFonts w:ascii="Garamond" w:hAnsi="Garamond"/>
          <w:i/>
          <w:color w:val="000000" w:themeColor="text1"/>
        </w:rPr>
        <w:t xml:space="preserve"> in </w:t>
      </w:r>
      <w:proofErr w:type="spellStart"/>
      <w:r w:rsidRPr="00B935F1">
        <w:rPr>
          <w:rFonts w:ascii="Garamond" w:hAnsi="Garamond"/>
          <w:i/>
          <w:color w:val="000000" w:themeColor="text1"/>
        </w:rPr>
        <w:t>need</w:t>
      </w:r>
      <w:proofErr w:type="spellEnd"/>
      <w:r w:rsidRPr="00B935F1">
        <w:rPr>
          <w:rFonts w:ascii="Garamond" w:hAnsi="Garamond"/>
          <w:color w:val="000000" w:themeColor="text1"/>
        </w:rPr>
        <w:t>» nell’affrontare la crisi pandemica, ma hanno anche confermato «</w:t>
      </w:r>
      <w:r w:rsidRPr="00B935F1">
        <w:rPr>
          <w:rFonts w:ascii="Garamond" w:hAnsi="Garamond"/>
          <w:i/>
          <w:color w:val="000000" w:themeColor="text1"/>
        </w:rPr>
        <w:t xml:space="preserve">la </w:t>
      </w:r>
      <w:proofErr w:type="spellStart"/>
      <w:r w:rsidRPr="00B935F1">
        <w:rPr>
          <w:rFonts w:ascii="Garamond" w:hAnsi="Garamond"/>
          <w:i/>
          <w:color w:val="000000" w:themeColor="text1"/>
        </w:rPr>
        <w:t>extensive</w:t>
      </w:r>
      <w:proofErr w:type="spellEnd"/>
      <w:r w:rsidRPr="00B935F1">
        <w:rPr>
          <w:rFonts w:ascii="Garamond" w:hAnsi="Garamond"/>
          <w:i/>
          <w:color w:val="000000" w:themeColor="text1"/>
        </w:rPr>
        <w:t xml:space="preserve"> COVID-19 </w:t>
      </w:r>
      <w:proofErr w:type="spellStart"/>
      <w:r w:rsidRPr="00B935F1">
        <w:rPr>
          <w:rFonts w:ascii="Garamond" w:hAnsi="Garamond"/>
          <w:i/>
          <w:color w:val="000000" w:themeColor="text1"/>
        </w:rPr>
        <w:t>immunization</w:t>
      </w:r>
      <w:proofErr w:type="spellEnd"/>
      <w:r w:rsidRPr="00B935F1">
        <w:rPr>
          <w:rFonts w:ascii="Garamond" w:hAnsi="Garamond"/>
          <w:i/>
          <w:color w:val="000000" w:themeColor="text1"/>
        </w:rPr>
        <w:t xml:space="preserve"> </w:t>
      </w:r>
      <w:r w:rsidRPr="00B935F1">
        <w:rPr>
          <w:rFonts w:ascii="Garamond" w:hAnsi="Garamond"/>
          <w:color w:val="000000" w:themeColor="text1"/>
        </w:rPr>
        <w:t>(…)</w:t>
      </w:r>
      <w:r w:rsidRPr="00B935F1">
        <w:rPr>
          <w:rFonts w:ascii="Garamond" w:hAnsi="Garamond"/>
          <w:i/>
          <w:color w:val="000000" w:themeColor="text1"/>
        </w:rPr>
        <w:t xml:space="preserve"> a global public good</w:t>
      </w:r>
      <w:r w:rsidRPr="00B935F1">
        <w:rPr>
          <w:rFonts w:ascii="Garamond" w:hAnsi="Garamond"/>
          <w:color w:val="000000" w:themeColor="text1"/>
        </w:rPr>
        <w:t>», così come i loro sforzi nell’«</w:t>
      </w:r>
      <w:proofErr w:type="spellStart"/>
      <w:r w:rsidRPr="00B935F1">
        <w:rPr>
          <w:rFonts w:ascii="Garamond" w:hAnsi="Garamond"/>
          <w:i/>
          <w:color w:val="000000" w:themeColor="text1"/>
        </w:rPr>
        <w:t>ensure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timely</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equitable</w:t>
      </w:r>
      <w:proofErr w:type="spellEnd"/>
      <w:r w:rsidRPr="00B935F1">
        <w:rPr>
          <w:rFonts w:ascii="Garamond" w:hAnsi="Garamond"/>
          <w:i/>
          <w:color w:val="000000" w:themeColor="text1"/>
        </w:rPr>
        <w:t xml:space="preserve"> and </w:t>
      </w:r>
      <w:proofErr w:type="spellStart"/>
      <w:r w:rsidRPr="00B935F1">
        <w:rPr>
          <w:rFonts w:ascii="Garamond" w:hAnsi="Garamond"/>
          <w:i/>
          <w:color w:val="000000" w:themeColor="text1"/>
        </w:rPr>
        <w:t>universal</w:t>
      </w:r>
      <w:proofErr w:type="spellEnd"/>
      <w:r w:rsidRPr="00B935F1">
        <w:rPr>
          <w:rFonts w:ascii="Garamond" w:hAnsi="Garamond"/>
          <w:i/>
          <w:color w:val="000000" w:themeColor="text1"/>
        </w:rPr>
        <w:t xml:space="preserve"> access to safe, </w:t>
      </w:r>
      <w:proofErr w:type="spellStart"/>
      <w:r w:rsidRPr="00B935F1">
        <w:rPr>
          <w:rFonts w:ascii="Garamond" w:hAnsi="Garamond"/>
          <w:i/>
          <w:color w:val="000000" w:themeColor="text1"/>
        </w:rPr>
        <w:t>affordable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quality</w:t>
      </w:r>
      <w:proofErr w:type="spellEnd"/>
      <w:r w:rsidRPr="00B935F1">
        <w:rPr>
          <w:rFonts w:ascii="Garamond" w:hAnsi="Garamond"/>
          <w:i/>
          <w:color w:val="000000" w:themeColor="text1"/>
        </w:rPr>
        <w:t xml:space="preserve"> and </w:t>
      </w:r>
      <w:proofErr w:type="spellStart"/>
      <w:r w:rsidRPr="00B935F1">
        <w:rPr>
          <w:rFonts w:ascii="Garamond" w:hAnsi="Garamond"/>
          <w:i/>
          <w:color w:val="000000" w:themeColor="text1"/>
        </w:rPr>
        <w:t>effective</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vaccines</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therapeutics</w:t>
      </w:r>
      <w:proofErr w:type="spellEnd"/>
      <w:r w:rsidRPr="00B935F1">
        <w:rPr>
          <w:rFonts w:ascii="Garamond" w:hAnsi="Garamond"/>
          <w:i/>
          <w:color w:val="000000" w:themeColor="text1"/>
        </w:rPr>
        <w:t xml:space="preserve"> and </w:t>
      </w:r>
      <w:proofErr w:type="spellStart"/>
      <w:r w:rsidRPr="00B935F1">
        <w:rPr>
          <w:rFonts w:ascii="Garamond" w:hAnsi="Garamond"/>
          <w:i/>
          <w:color w:val="000000" w:themeColor="text1"/>
        </w:rPr>
        <w:t>diagnostics</w:t>
      </w:r>
      <w:proofErr w:type="spellEnd"/>
      <w:r w:rsidRPr="00B935F1">
        <w:rPr>
          <w:rFonts w:ascii="Garamond" w:hAnsi="Garamond"/>
          <w:i/>
          <w:color w:val="000000" w:themeColor="text1"/>
        </w:rPr>
        <w:t xml:space="preserve">, with </w:t>
      </w:r>
      <w:proofErr w:type="spellStart"/>
      <w:r w:rsidRPr="00B935F1">
        <w:rPr>
          <w:rFonts w:ascii="Garamond" w:hAnsi="Garamond"/>
          <w:i/>
          <w:color w:val="000000" w:themeColor="text1"/>
        </w:rPr>
        <w:t>particular</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regard</w:t>
      </w:r>
      <w:proofErr w:type="spellEnd"/>
      <w:r w:rsidRPr="00B935F1">
        <w:rPr>
          <w:rFonts w:ascii="Garamond" w:hAnsi="Garamond"/>
          <w:i/>
          <w:color w:val="000000" w:themeColor="text1"/>
        </w:rPr>
        <w:t xml:space="preserve"> to the </w:t>
      </w:r>
      <w:proofErr w:type="spellStart"/>
      <w:r w:rsidRPr="00B935F1">
        <w:rPr>
          <w:rFonts w:ascii="Garamond" w:hAnsi="Garamond"/>
          <w:i/>
          <w:color w:val="000000" w:themeColor="text1"/>
        </w:rPr>
        <w:t>needs</w:t>
      </w:r>
      <w:proofErr w:type="spellEnd"/>
      <w:r w:rsidRPr="00B935F1">
        <w:rPr>
          <w:rFonts w:ascii="Garamond" w:hAnsi="Garamond"/>
          <w:i/>
          <w:color w:val="000000" w:themeColor="text1"/>
        </w:rPr>
        <w:t xml:space="preserve"> of low- and middle-</w:t>
      </w:r>
      <w:proofErr w:type="spellStart"/>
      <w:r w:rsidRPr="00B935F1">
        <w:rPr>
          <w:rFonts w:ascii="Garamond" w:hAnsi="Garamond"/>
          <w:i/>
          <w:color w:val="000000" w:themeColor="text1"/>
        </w:rPr>
        <w:t>income</w:t>
      </w:r>
      <w:proofErr w:type="spellEnd"/>
      <w:r w:rsidRPr="00B935F1">
        <w:rPr>
          <w:rFonts w:ascii="Garamond" w:hAnsi="Garamond"/>
          <w:i/>
          <w:color w:val="000000" w:themeColor="text1"/>
        </w:rPr>
        <w:t xml:space="preserve"> countries</w:t>
      </w:r>
      <w:r w:rsidRPr="00B935F1">
        <w:rPr>
          <w:rFonts w:ascii="Garamond" w:hAnsi="Garamond"/>
          <w:color w:val="000000" w:themeColor="text1"/>
        </w:rPr>
        <w:t xml:space="preserve">».  </w:t>
      </w:r>
      <w:r w:rsidRPr="00156101">
        <w:rPr>
          <w:rFonts w:ascii="Garamond" w:hAnsi="Garamond"/>
          <w:i/>
          <w:color w:val="000000" w:themeColor="text1"/>
          <w:lang w:val="en-US"/>
        </w:rPr>
        <w:t xml:space="preserve">G20, Rome Leaders’ declaration, </w:t>
      </w:r>
      <w:r w:rsidRPr="00156101">
        <w:rPr>
          <w:rFonts w:ascii="Garamond" w:hAnsi="Garamond"/>
          <w:color w:val="000000" w:themeColor="text1"/>
          <w:lang w:val="en-US"/>
        </w:rPr>
        <w:t xml:space="preserve">31 </w:t>
      </w:r>
      <w:proofErr w:type="spellStart"/>
      <w:r w:rsidRPr="00156101">
        <w:rPr>
          <w:rFonts w:ascii="Garamond" w:hAnsi="Garamond"/>
          <w:color w:val="000000" w:themeColor="text1"/>
          <w:lang w:val="en-US"/>
        </w:rPr>
        <w:t>october</w:t>
      </w:r>
      <w:proofErr w:type="spellEnd"/>
      <w:r w:rsidRPr="00156101">
        <w:rPr>
          <w:rFonts w:ascii="Garamond" w:hAnsi="Garamond"/>
          <w:color w:val="000000" w:themeColor="text1"/>
          <w:lang w:val="en-US"/>
        </w:rPr>
        <w:t xml:space="preserve"> 2021, </w:t>
      </w:r>
      <w:hyperlink r:id="rId28" w:history="1">
        <w:r w:rsidRPr="00156101">
          <w:rPr>
            <w:rStyle w:val="Collegamentoipertestuale"/>
            <w:rFonts w:ascii="Garamond" w:hAnsi="Garamond"/>
            <w:color w:val="000000" w:themeColor="text1"/>
            <w:u w:val="none"/>
            <w:lang w:val="en-US"/>
          </w:rPr>
          <w:t>https://www.governo.it/sites/governo.it/files/G20ROMELEADERSDECLARATION.pdf</w:t>
        </w:r>
      </w:hyperlink>
      <w:r w:rsidRPr="00156101">
        <w:rPr>
          <w:rFonts w:ascii="Garamond" w:hAnsi="Garamond"/>
          <w:color w:val="000000" w:themeColor="text1"/>
          <w:lang w:val="en-US"/>
        </w:rPr>
        <w:t xml:space="preserve">. </w:t>
      </w:r>
      <w:r w:rsidRPr="00B935F1">
        <w:rPr>
          <w:rFonts w:ascii="Garamond" w:hAnsi="Garamond"/>
          <w:smallCaps/>
          <w:color w:val="000000" w:themeColor="text1"/>
        </w:rPr>
        <w:t>U. Mattei</w:t>
      </w:r>
      <w:r w:rsidRPr="00B935F1">
        <w:rPr>
          <w:rFonts w:ascii="Garamond" w:hAnsi="Garamond"/>
          <w:color w:val="000000" w:themeColor="text1"/>
        </w:rPr>
        <w:t xml:space="preserve">, </w:t>
      </w:r>
      <w:r w:rsidRPr="00B935F1">
        <w:rPr>
          <w:rFonts w:ascii="Garamond" w:hAnsi="Garamond"/>
          <w:i/>
          <w:color w:val="000000" w:themeColor="text1"/>
        </w:rPr>
        <w:t>I beni comuni come istituzione giuridica</w:t>
      </w:r>
      <w:r w:rsidRPr="00B935F1">
        <w:rPr>
          <w:rFonts w:ascii="Garamond" w:hAnsi="Garamond"/>
          <w:color w:val="000000" w:themeColor="text1"/>
        </w:rPr>
        <w:t xml:space="preserve">, in </w:t>
      </w:r>
      <w:r w:rsidRPr="00B935F1">
        <w:rPr>
          <w:rFonts w:ascii="Garamond" w:hAnsi="Garamond"/>
          <w:i/>
          <w:color w:val="000000" w:themeColor="text1"/>
        </w:rPr>
        <w:t>Questione Giustizia</w:t>
      </w:r>
      <w:r w:rsidRPr="00B935F1">
        <w:rPr>
          <w:rFonts w:ascii="Garamond" w:hAnsi="Garamond"/>
          <w:color w:val="000000" w:themeColor="text1"/>
        </w:rPr>
        <w:t xml:space="preserve">, 2017. </w:t>
      </w:r>
      <w:r w:rsidRPr="00156101">
        <w:rPr>
          <w:rFonts w:ascii="Garamond" w:hAnsi="Garamond"/>
          <w:smallCaps/>
          <w:color w:val="000000" w:themeColor="text1"/>
          <w:lang w:val="en-US"/>
        </w:rPr>
        <w:t>P. Samuelson</w:t>
      </w:r>
      <w:r w:rsidRPr="00156101">
        <w:rPr>
          <w:rFonts w:ascii="Garamond" w:hAnsi="Garamond"/>
          <w:color w:val="000000" w:themeColor="text1"/>
          <w:lang w:val="en-US"/>
        </w:rPr>
        <w:t xml:space="preserve">, </w:t>
      </w:r>
      <w:r w:rsidRPr="00156101">
        <w:rPr>
          <w:rFonts w:ascii="Garamond" w:hAnsi="Garamond"/>
          <w:i/>
          <w:iCs/>
          <w:color w:val="000000" w:themeColor="text1"/>
          <w:lang w:val="en-US"/>
        </w:rPr>
        <w:t xml:space="preserve">The Pure Theory of Public Expenditure, </w:t>
      </w:r>
      <w:r w:rsidRPr="00156101">
        <w:rPr>
          <w:rFonts w:ascii="Garamond" w:hAnsi="Garamond"/>
          <w:color w:val="000000" w:themeColor="text1"/>
          <w:lang w:val="en-US"/>
        </w:rPr>
        <w:t xml:space="preserve">in </w:t>
      </w:r>
      <w:r w:rsidRPr="00156101">
        <w:rPr>
          <w:rFonts w:ascii="Garamond" w:hAnsi="Garamond"/>
          <w:i/>
          <w:iCs/>
          <w:color w:val="000000" w:themeColor="text1"/>
          <w:lang w:val="en-US"/>
        </w:rPr>
        <w:t>The Review of Economics and Statistics</w:t>
      </w:r>
      <w:r w:rsidRPr="00156101">
        <w:rPr>
          <w:rFonts w:ascii="Garamond" w:hAnsi="Garamond"/>
          <w:color w:val="000000" w:themeColor="text1"/>
          <w:lang w:val="en-US"/>
        </w:rPr>
        <w:t xml:space="preserve">, 1954, p. 387 ss.; </w:t>
      </w:r>
      <w:r w:rsidRPr="00156101">
        <w:rPr>
          <w:rFonts w:ascii="Garamond" w:hAnsi="Garamond"/>
          <w:smallCaps/>
          <w:color w:val="000000" w:themeColor="text1"/>
          <w:lang w:val="en-US"/>
        </w:rPr>
        <w:t>I. Kaul, I. Grunberg, M. Stern</w:t>
      </w:r>
      <w:r w:rsidRPr="00156101">
        <w:rPr>
          <w:rFonts w:ascii="Garamond" w:hAnsi="Garamond"/>
          <w:color w:val="000000" w:themeColor="text1"/>
          <w:lang w:val="en-US"/>
        </w:rPr>
        <w:t xml:space="preserve">, </w:t>
      </w:r>
      <w:r w:rsidRPr="00156101">
        <w:rPr>
          <w:rFonts w:ascii="Garamond" w:hAnsi="Garamond"/>
          <w:i/>
          <w:iCs/>
          <w:color w:val="000000" w:themeColor="text1"/>
          <w:lang w:val="en-US"/>
        </w:rPr>
        <w:t>Global Public Goods:</w:t>
      </w:r>
    </w:p>
    <w:p w14:paraId="312C209A" w14:textId="06F13D68" w:rsidR="006B1761" w:rsidRPr="00B935F1" w:rsidRDefault="006B1761" w:rsidP="00B67169">
      <w:pPr>
        <w:pStyle w:val="Testonotaapidipagina"/>
        <w:jc w:val="both"/>
        <w:rPr>
          <w:rFonts w:ascii="Garamond" w:hAnsi="Garamond"/>
          <w:color w:val="000000" w:themeColor="text1"/>
        </w:rPr>
      </w:pPr>
      <w:r w:rsidRPr="00156101">
        <w:rPr>
          <w:rFonts w:ascii="Garamond" w:hAnsi="Garamond"/>
          <w:i/>
          <w:iCs/>
          <w:color w:val="000000" w:themeColor="text1"/>
          <w:lang w:val="en-US"/>
        </w:rPr>
        <w:t>International Cooperation in the 21st Century</w:t>
      </w:r>
      <w:r w:rsidRPr="00156101">
        <w:rPr>
          <w:rFonts w:ascii="Garamond" w:hAnsi="Garamond"/>
          <w:color w:val="000000" w:themeColor="text1"/>
          <w:lang w:val="en-US"/>
        </w:rPr>
        <w:t xml:space="preserve">, Oxford, 1999. </w:t>
      </w:r>
      <w:r w:rsidRPr="00B935F1">
        <w:rPr>
          <w:rFonts w:ascii="Garamond" w:hAnsi="Garamond"/>
          <w:color w:val="000000" w:themeColor="text1"/>
        </w:rPr>
        <w:t xml:space="preserve">Secondo la teoria economica, (che non rientra nell’oggetto della trattazione, e alla quale, pertanto, vi si accennerà soltanto) un bene pubblico puro si definisce tale quando presenta i caratteri della non rivalità (in base alla quale più soggetti possono fruire del bene, anche contemporaneamente, senza diminuire l’uso che altri volessero eventualmente farne) e della non escludibilità (che è data dall’impossibilità di impedire a terzi l’uso o il consumo del bene). </w:t>
      </w:r>
      <w:r w:rsidRPr="00B935F1">
        <w:rPr>
          <w:rFonts w:ascii="Garamond" w:hAnsi="Garamond"/>
          <w:smallCaps/>
          <w:color w:val="000000" w:themeColor="text1"/>
        </w:rPr>
        <w:t>V. Zambrano</w:t>
      </w:r>
      <w:r w:rsidRPr="00B935F1">
        <w:rPr>
          <w:rFonts w:ascii="Garamond" w:hAnsi="Garamond"/>
          <w:color w:val="000000" w:themeColor="text1"/>
        </w:rPr>
        <w:t xml:space="preserve">, cit. Dal punto di vista giuridico, invece, occorre osservare anzitutto la crescente rilevanza assunta dai beni comuni, (c.d. </w:t>
      </w:r>
      <w:r w:rsidRPr="00B935F1">
        <w:rPr>
          <w:rFonts w:ascii="Garamond" w:hAnsi="Garamond"/>
          <w:i/>
          <w:color w:val="000000" w:themeColor="text1"/>
        </w:rPr>
        <w:t xml:space="preserve">res </w:t>
      </w:r>
      <w:proofErr w:type="spellStart"/>
      <w:r w:rsidRPr="00B935F1">
        <w:rPr>
          <w:rFonts w:ascii="Garamond" w:hAnsi="Garamond"/>
          <w:i/>
          <w:color w:val="000000" w:themeColor="text1"/>
        </w:rPr>
        <w:t>communes</w:t>
      </w:r>
      <w:proofErr w:type="spellEnd"/>
      <w:r w:rsidRPr="00B935F1">
        <w:rPr>
          <w:rFonts w:ascii="Garamond" w:hAnsi="Garamond"/>
          <w:i/>
          <w:color w:val="000000" w:themeColor="text1"/>
        </w:rPr>
        <w:t xml:space="preserve"> omnium</w:t>
      </w:r>
      <w:r w:rsidRPr="00B935F1">
        <w:rPr>
          <w:rFonts w:ascii="Garamond" w:hAnsi="Garamond"/>
          <w:color w:val="000000" w:themeColor="text1"/>
        </w:rPr>
        <w:t>), in quanto cose «</w:t>
      </w:r>
      <w:r w:rsidRPr="00B935F1">
        <w:rPr>
          <w:rFonts w:ascii="Garamond" w:hAnsi="Garamond"/>
          <w:i/>
          <w:color w:val="000000" w:themeColor="text1"/>
        </w:rPr>
        <w:t xml:space="preserve">che, </w:t>
      </w:r>
      <w:r w:rsidRPr="00B935F1">
        <w:rPr>
          <w:rFonts w:ascii="Garamond" w:hAnsi="Garamond"/>
          <w:color w:val="000000" w:themeColor="text1"/>
        </w:rPr>
        <w:t>(secondo la dottrina Marciano)</w:t>
      </w:r>
      <w:r w:rsidRPr="00B935F1">
        <w:rPr>
          <w:rFonts w:ascii="Garamond" w:hAnsi="Garamond"/>
          <w:i/>
          <w:color w:val="000000" w:themeColor="text1"/>
        </w:rPr>
        <w:t xml:space="preserve"> </w:t>
      </w:r>
      <w:r w:rsidRPr="00156101">
        <w:rPr>
          <w:rFonts w:ascii="Garamond" w:hAnsi="Garamond"/>
          <w:color w:val="000000" w:themeColor="text1"/>
        </w:rPr>
        <w:t>per naturale destinazione, si prestano ad una indifferenziata utilizzazione generale: l’aria, il mare</w:t>
      </w:r>
      <w:r w:rsidRPr="00B935F1">
        <w:rPr>
          <w:rFonts w:ascii="Garamond" w:hAnsi="Garamond"/>
          <w:color w:val="000000" w:themeColor="text1"/>
        </w:rPr>
        <w:t xml:space="preserve"> (…)». </w:t>
      </w:r>
      <w:r w:rsidRPr="00B935F1">
        <w:rPr>
          <w:rFonts w:ascii="Garamond" w:hAnsi="Garamond"/>
          <w:smallCaps/>
          <w:color w:val="000000" w:themeColor="text1"/>
        </w:rPr>
        <w:t>C. Sanfilippo</w:t>
      </w:r>
      <w:r w:rsidRPr="00B935F1">
        <w:rPr>
          <w:rFonts w:ascii="Garamond" w:hAnsi="Garamond"/>
          <w:i/>
          <w:color w:val="000000" w:themeColor="text1"/>
        </w:rPr>
        <w:t>, Istituzioni di diritto romano</w:t>
      </w:r>
      <w:r w:rsidRPr="00B935F1">
        <w:rPr>
          <w:rFonts w:ascii="Garamond" w:hAnsi="Garamond"/>
          <w:color w:val="000000" w:themeColor="text1"/>
        </w:rPr>
        <w:t>, Catanzaro, 2002, pp. 73 e ss. Riceve, inoltre, sempre più apprezzamento in dottrina, la teoria secondo la quale tra i beni comuni rientrerebbero non solo quelli «</w:t>
      </w:r>
      <w:r w:rsidRPr="00156101">
        <w:rPr>
          <w:rFonts w:ascii="Garamond" w:hAnsi="Garamond"/>
          <w:color w:val="000000" w:themeColor="text1"/>
        </w:rPr>
        <w:t>che hanno una rilevanza economica</w:t>
      </w:r>
      <w:r w:rsidRPr="00B935F1">
        <w:rPr>
          <w:rFonts w:ascii="Garamond" w:hAnsi="Garamond"/>
          <w:color w:val="000000" w:themeColor="text1"/>
        </w:rPr>
        <w:t xml:space="preserve">; [ma anche] </w:t>
      </w:r>
      <w:r w:rsidRPr="00156101">
        <w:rPr>
          <w:rFonts w:ascii="Garamond" w:hAnsi="Garamond"/>
          <w:color w:val="000000" w:themeColor="text1"/>
        </w:rPr>
        <w:t>il territorio, il panorama, l’ambiente in genere</w:t>
      </w:r>
      <w:r w:rsidRPr="00B935F1">
        <w:rPr>
          <w:rFonts w:ascii="Garamond" w:hAnsi="Garamond"/>
          <w:color w:val="000000" w:themeColor="text1"/>
        </w:rPr>
        <w:t xml:space="preserve"> [e soprattutto</w:t>
      </w:r>
      <w:r w:rsidRPr="00AA656C">
        <w:rPr>
          <w:rFonts w:ascii="Garamond" w:hAnsi="Garamond"/>
          <w:color w:val="000000" w:themeColor="text1"/>
        </w:rPr>
        <w:t>]</w:t>
      </w:r>
      <w:r w:rsidRPr="00156101">
        <w:rPr>
          <w:rFonts w:ascii="Garamond" w:hAnsi="Garamond"/>
          <w:i/>
          <w:color w:val="000000" w:themeColor="text1"/>
        </w:rPr>
        <w:t xml:space="preserve"> </w:t>
      </w:r>
      <w:r w:rsidRPr="00AA656C">
        <w:rPr>
          <w:rFonts w:ascii="Garamond" w:hAnsi="Garamond"/>
          <w:i/>
          <w:color w:val="000000" w:themeColor="text1"/>
        </w:rPr>
        <w:t>la salute</w:t>
      </w:r>
      <w:r w:rsidRPr="00B935F1">
        <w:rPr>
          <w:rFonts w:ascii="Garamond" w:hAnsi="Garamond"/>
          <w:color w:val="000000" w:themeColor="text1"/>
        </w:rPr>
        <w:t xml:space="preserve">». </w:t>
      </w:r>
      <w:r w:rsidRPr="00B935F1">
        <w:rPr>
          <w:rFonts w:ascii="Garamond" w:hAnsi="Garamond"/>
          <w:smallCaps/>
          <w:color w:val="000000" w:themeColor="text1"/>
        </w:rPr>
        <w:t>T. Martines e G. Silvestri</w:t>
      </w:r>
      <w:r w:rsidRPr="00B935F1">
        <w:rPr>
          <w:rFonts w:ascii="Garamond" w:hAnsi="Garamond"/>
          <w:color w:val="000000" w:themeColor="text1"/>
        </w:rPr>
        <w:t xml:space="preserve">, </w:t>
      </w:r>
      <w:r w:rsidRPr="00B935F1">
        <w:rPr>
          <w:rFonts w:ascii="Garamond" w:hAnsi="Garamond"/>
          <w:i/>
          <w:color w:val="000000" w:themeColor="text1"/>
        </w:rPr>
        <w:t>Diritto costituzionale</w:t>
      </w:r>
      <w:r w:rsidRPr="00B935F1">
        <w:rPr>
          <w:rFonts w:ascii="Garamond" w:hAnsi="Garamond"/>
          <w:color w:val="000000" w:themeColor="text1"/>
        </w:rPr>
        <w:t xml:space="preserve">, Milano, 2022, pp. 4 e ss. </w:t>
      </w:r>
    </w:p>
    <w:p w14:paraId="04EB8000" w14:textId="03E13D7A" w:rsidR="006B1761" w:rsidRPr="00156101" w:rsidRDefault="006B1761" w:rsidP="00B67169">
      <w:pPr>
        <w:pStyle w:val="Testonotaapidipagina"/>
        <w:jc w:val="both"/>
        <w:rPr>
          <w:rFonts w:ascii="Garamond" w:hAnsi="Garamond"/>
          <w:color w:val="000000" w:themeColor="text1"/>
          <w:lang w:val="en-US"/>
        </w:rPr>
      </w:pPr>
      <w:r w:rsidRPr="00B935F1">
        <w:rPr>
          <w:rFonts w:ascii="Garamond" w:hAnsi="Garamond"/>
          <w:smallCaps/>
          <w:color w:val="000000" w:themeColor="text1"/>
        </w:rPr>
        <w:t>A. Vivarelli</w:t>
      </w:r>
      <w:r w:rsidRPr="00B935F1">
        <w:rPr>
          <w:rFonts w:ascii="Garamond" w:hAnsi="Garamond"/>
          <w:color w:val="000000" w:themeColor="text1"/>
        </w:rPr>
        <w:t xml:space="preserve">, </w:t>
      </w:r>
      <w:r w:rsidRPr="00B935F1">
        <w:rPr>
          <w:rFonts w:ascii="Garamond" w:hAnsi="Garamond"/>
          <w:i/>
          <w:color w:val="000000" w:themeColor="text1"/>
        </w:rPr>
        <w:t>Vaccini e “beni comuni per la salute”: utopia o distopia?</w:t>
      </w:r>
      <w:r w:rsidRPr="00B935F1">
        <w:rPr>
          <w:rFonts w:ascii="Garamond" w:hAnsi="Garamond"/>
          <w:color w:val="000000" w:themeColor="text1"/>
        </w:rPr>
        <w:t xml:space="preserve">”, in </w:t>
      </w:r>
      <w:r w:rsidRPr="00B935F1">
        <w:rPr>
          <w:rFonts w:ascii="Garamond" w:hAnsi="Garamond"/>
          <w:i/>
          <w:color w:val="000000" w:themeColor="text1"/>
        </w:rPr>
        <w:t>Norme giuridiche e prassi sanitaria, diritto internazionale e diritto interno alla prova del Covid-19</w:t>
      </w:r>
      <w:r w:rsidRPr="00B935F1">
        <w:rPr>
          <w:rFonts w:ascii="Garamond" w:hAnsi="Garamond"/>
          <w:color w:val="000000" w:themeColor="text1"/>
        </w:rPr>
        <w:t xml:space="preserve">, temi scelti, (a cura di </w:t>
      </w:r>
      <w:r w:rsidRPr="00B935F1">
        <w:rPr>
          <w:rFonts w:ascii="Garamond" w:hAnsi="Garamond"/>
          <w:smallCaps/>
          <w:color w:val="000000" w:themeColor="text1"/>
        </w:rPr>
        <w:t>S. Angioi e S. Cappabianca</w:t>
      </w:r>
      <w:r w:rsidRPr="00B935F1">
        <w:rPr>
          <w:rFonts w:ascii="Garamond" w:hAnsi="Garamond"/>
          <w:color w:val="000000" w:themeColor="text1"/>
        </w:rPr>
        <w:t xml:space="preserve">), Napoli, 2021, pp. 229 e ss.  </w:t>
      </w:r>
      <w:proofErr w:type="spellStart"/>
      <w:r w:rsidRPr="00156101">
        <w:rPr>
          <w:rFonts w:ascii="Garamond" w:hAnsi="Garamond"/>
          <w:color w:val="000000" w:themeColor="text1"/>
          <w:lang w:val="en-US"/>
        </w:rPr>
        <w:t>Su</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questo</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tema</w:t>
      </w:r>
      <w:proofErr w:type="spellEnd"/>
      <w:r w:rsidRPr="00156101">
        <w:rPr>
          <w:rFonts w:ascii="Garamond" w:hAnsi="Garamond"/>
          <w:color w:val="000000" w:themeColor="text1"/>
          <w:lang w:val="en-US"/>
        </w:rPr>
        <w:t xml:space="preserve"> è </w:t>
      </w:r>
      <w:proofErr w:type="spellStart"/>
      <w:r w:rsidRPr="00156101">
        <w:rPr>
          <w:rFonts w:ascii="Garamond" w:hAnsi="Garamond"/>
          <w:color w:val="000000" w:themeColor="text1"/>
          <w:lang w:val="en-US"/>
        </w:rPr>
        <w:t>intervenuto</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anche</w:t>
      </w:r>
      <w:proofErr w:type="spellEnd"/>
      <w:r w:rsidRPr="00156101">
        <w:rPr>
          <w:rFonts w:ascii="Garamond" w:hAnsi="Garamond"/>
          <w:color w:val="000000" w:themeColor="text1"/>
          <w:lang w:val="en-US"/>
        </w:rPr>
        <w:t xml:space="preserve"> il </w:t>
      </w:r>
      <w:proofErr w:type="spellStart"/>
      <w:r w:rsidRPr="00156101">
        <w:rPr>
          <w:rFonts w:ascii="Garamond" w:hAnsi="Garamond"/>
          <w:color w:val="000000" w:themeColor="text1"/>
          <w:lang w:val="en-US"/>
        </w:rPr>
        <w:t>Comitato</w:t>
      </w:r>
      <w:proofErr w:type="spellEnd"/>
      <w:r w:rsidRPr="00156101">
        <w:rPr>
          <w:rFonts w:ascii="Garamond" w:hAnsi="Garamond"/>
          <w:color w:val="000000" w:themeColor="text1"/>
          <w:lang w:val="en-US"/>
        </w:rPr>
        <w:t xml:space="preserve"> ONU per </w:t>
      </w:r>
      <w:proofErr w:type="spellStart"/>
      <w:r w:rsidRPr="00156101">
        <w:rPr>
          <w:rFonts w:ascii="Garamond" w:hAnsi="Garamond"/>
          <w:color w:val="000000" w:themeColor="text1"/>
          <w:lang w:val="en-US"/>
        </w:rPr>
        <w:t>i</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diritti</w:t>
      </w:r>
      <w:proofErr w:type="spellEnd"/>
      <w:r w:rsidRPr="00156101">
        <w:rPr>
          <w:rFonts w:ascii="Garamond" w:hAnsi="Garamond"/>
          <w:color w:val="000000" w:themeColor="text1"/>
          <w:lang w:val="en-US"/>
        </w:rPr>
        <w:t xml:space="preserve"> economici, </w:t>
      </w:r>
      <w:proofErr w:type="spellStart"/>
      <w:r w:rsidRPr="00156101">
        <w:rPr>
          <w:rFonts w:ascii="Garamond" w:hAnsi="Garamond"/>
          <w:color w:val="000000" w:themeColor="text1"/>
          <w:lang w:val="en-US"/>
        </w:rPr>
        <w:t>sociali</w:t>
      </w:r>
      <w:proofErr w:type="spellEnd"/>
      <w:r w:rsidRPr="00156101">
        <w:rPr>
          <w:rFonts w:ascii="Garamond" w:hAnsi="Garamond"/>
          <w:color w:val="000000" w:themeColor="text1"/>
          <w:lang w:val="en-US"/>
        </w:rPr>
        <w:t xml:space="preserve"> e </w:t>
      </w:r>
      <w:proofErr w:type="spellStart"/>
      <w:r w:rsidRPr="00156101">
        <w:rPr>
          <w:rFonts w:ascii="Garamond" w:hAnsi="Garamond"/>
          <w:color w:val="000000" w:themeColor="text1"/>
          <w:lang w:val="en-US"/>
        </w:rPr>
        <w:t>culturali</w:t>
      </w:r>
      <w:proofErr w:type="spellEnd"/>
      <w:r w:rsidRPr="00156101">
        <w:rPr>
          <w:rFonts w:ascii="Garamond" w:hAnsi="Garamond"/>
          <w:color w:val="000000" w:themeColor="text1"/>
          <w:lang w:val="en-US"/>
        </w:rPr>
        <w:t xml:space="preserve"> </w:t>
      </w:r>
      <w:proofErr w:type="spellStart"/>
      <w:r w:rsidRPr="00156101">
        <w:rPr>
          <w:rFonts w:ascii="Garamond" w:hAnsi="Garamond"/>
          <w:color w:val="000000" w:themeColor="text1"/>
          <w:lang w:val="en-US"/>
        </w:rPr>
        <w:t>dell’art</w:t>
      </w:r>
      <w:proofErr w:type="spellEnd"/>
      <w:r w:rsidRPr="00156101">
        <w:rPr>
          <w:rFonts w:ascii="Garamond" w:hAnsi="Garamond"/>
          <w:color w:val="000000" w:themeColor="text1"/>
          <w:lang w:val="en-US"/>
        </w:rPr>
        <w:t xml:space="preserve">. 12 PIDESC </w:t>
      </w:r>
      <w:proofErr w:type="spellStart"/>
      <w:r w:rsidRPr="00156101">
        <w:rPr>
          <w:rFonts w:ascii="Garamond" w:hAnsi="Garamond"/>
          <w:color w:val="000000" w:themeColor="text1"/>
          <w:lang w:val="en-US"/>
        </w:rPr>
        <w:t>che</w:t>
      </w:r>
      <w:proofErr w:type="spellEnd"/>
      <w:r w:rsidRPr="00156101">
        <w:rPr>
          <w:rFonts w:ascii="Garamond" w:hAnsi="Garamond"/>
          <w:color w:val="000000" w:themeColor="text1"/>
          <w:lang w:val="en-US"/>
        </w:rPr>
        <w:t xml:space="preserve"> ha </w:t>
      </w:r>
      <w:proofErr w:type="spellStart"/>
      <w:r w:rsidRPr="00156101">
        <w:rPr>
          <w:rFonts w:ascii="Garamond" w:hAnsi="Garamond"/>
          <w:color w:val="000000" w:themeColor="text1"/>
          <w:lang w:val="en-US"/>
        </w:rPr>
        <w:t>definito</w:t>
      </w:r>
      <w:proofErr w:type="spellEnd"/>
      <w:r w:rsidRPr="00156101">
        <w:rPr>
          <w:rFonts w:ascii="Garamond" w:hAnsi="Garamond"/>
          <w:color w:val="000000" w:themeColor="text1"/>
          <w:lang w:val="en-US"/>
        </w:rPr>
        <w:t xml:space="preserve"> «The duty of States to provide immunization against the major infectious diseases and to prevent and control epidemics </w:t>
      </w:r>
      <w:r w:rsidRPr="00AA656C">
        <w:rPr>
          <w:rFonts w:ascii="Garamond" w:hAnsi="Garamond"/>
          <w:color w:val="000000" w:themeColor="text1"/>
          <w:lang w:val="en-US"/>
        </w:rPr>
        <w:t>(…)</w:t>
      </w:r>
      <w:r w:rsidRPr="00156101">
        <w:rPr>
          <w:rFonts w:ascii="Garamond" w:hAnsi="Garamond"/>
          <w:color w:val="000000" w:themeColor="text1"/>
          <w:lang w:val="en-US"/>
        </w:rPr>
        <w:t xml:space="preserve"> a priority obligation concerning the right to health</w:t>
      </w:r>
      <w:r w:rsidRPr="00AA656C">
        <w:rPr>
          <w:rFonts w:ascii="Garamond" w:hAnsi="Garamond"/>
          <w:color w:val="000000" w:themeColor="text1"/>
          <w:lang w:val="en-US"/>
        </w:rPr>
        <w:t xml:space="preserve">. </w:t>
      </w:r>
      <w:r w:rsidRPr="00156101">
        <w:rPr>
          <w:rFonts w:ascii="Garamond" w:hAnsi="Garamond"/>
          <w:color w:val="000000" w:themeColor="text1"/>
          <w:lang w:val="en-US"/>
        </w:rPr>
        <w:t xml:space="preserve">Thus, under the current conditions, States </w:t>
      </w:r>
      <w:proofErr w:type="gramStart"/>
      <w:r w:rsidRPr="00156101">
        <w:rPr>
          <w:rFonts w:ascii="Garamond" w:hAnsi="Garamond"/>
          <w:color w:val="000000" w:themeColor="text1"/>
          <w:lang w:val="en-US"/>
        </w:rPr>
        <w:t>have to</w:t>
      </w:r>
      <w:proofErr w:type="gramEnd"/>
      <w:r w:rsidRPr="00156101">
        <w:rPr>
          <w:rFonts w:ascii="Garamond" w:hAnsi="Garamond"/>
          <w:color w:val="000000" w:themeColor="text1"/>
          <w:lang w:val="en-US"/>
        </w:rPr>
        <w:t xml:space="preserve"> give maximum priority to the provision of vaccines for COVID-19 to all persons»</w:t>
      </w:r>
      <w:r w:rsidRPr="00B935F1">
        <w:rPr>
          <w:rFonts w:ascii="Garamond" w:hAnsi="Garamond"/>
          <w:color w:val="000000" w:themeColor="text1"/>
          <w:lang w:val="en-US"/>
        </w:rPr>
        <w:t xml:space="preserve">.   </w:t>
      </w:r>
      <w:r w:rsidRPr="00B935F1">
        <w:rPr>
          <w:rFonts w:ascii="Garamond" w:hAnsi="Garamond"/>
          <w:color w:val="000000" w:themeColor="text1"/>
        </w:rPr>
        <w:t>In particolare, proprio alla luce fallimento nella gestione dell’emergenza</w:t>
      </w:r>
      <w:r w:rsidR="005220D4" w:rsidRPr="00B935F1">
        <w:rPr>
          <w:rFonts w:ascii="Garamond" w:hAnsi="Garamond"/>
          <w:color w:val="000000" w:themeColor="text1"/>
        </w:rPr>
        <w:t xml:space="preserve"> </w:t>
      </w:r>
      <w:r w:rsidRPr="00B935F1">
        <w:rPr>
          <w:rFonts w:ascii="Garamond" w:hAnsi="Garamond"/>
          <w:color w:val="000000" w:themeColor="text1"/>
        </w:rPr>
        <w:t xml:space="preserve">Covid-19, occorre ripensare più nitidamente alla salute declinata nella sua dimensione universale, come accesso alle cure e all’assistenza sanitaria indipendentemente dalle proprie condizioni sociali e personali. </w:t>
      </w:r>
      <w:r w:rsidRPr="00B935F1">
        <w:rPr>
          <w:rFonts w:ascii="Garamond" w:hAnsi="Garamond"/>
          <w:smallCaps/>
          <w:color w:val="000000" w:themeColor="text1"/>
        </w:rPr>
        <w:t xml:space="preserve">S.M. Abdalla, N. </w:t>
      </w:r>
      <w:proofErr w:type="spellStart"/>
      <w:r w:rsidRPr="00B935F1">
        <w:rPr>
          <w:rFonts w:ascii="Garamond" w:hAnsi="Garamond"/>
          <w:smallCaps/>
          <w:color w:val="000000" w:themeColor="text1"/>
        </w:rPr>
        <w:t>maani</w:t>
      </w:r>
      <w:proofErr w:type="spellEnd"/>
      <w:r w:rsidRPr="00B935F1">
        <w:rPr>
          <w:rFonts w:ascii="Garamond" w:hAnsi="Garamond"/>
          <w:smallCaps/>
          <w:color w:val="000000" w:themeColor="text1"/>
        </w:rPr>
        <w:t>, C.K</w:t>
      </w:r>
      <w:r w:rsidRPr="00B935F1">
        <w:rPr>
          <w:rFonts w:ascii="Garamond" w:hAnsi="Garamond"/>
          <w:color w:val="000000" w:themeColor="text1"/>
        </w:rPr>
        <w:t>.</w:t>
      </w:r>
      <w:r w:rsidRPr="00B935F1">
        <w:rPr>
          <w:rFonts w:ascii="Garamond" w:hAnsi="Garamond"/>
          <w:smallCaps/>
          <w:color w:val="000000" w:themeColor="text1"/>
        </w:rPr>
        <w:t xml:space="preserve"> </w:t>
      </w:r>
      <w:proofErr w:type="spellStart"/>
      <w:r w:rsidRPr="00B935F1">
        <w:rPr>
          <w:rFonts w:ascii="Garamond" w:hAnsi="Garamond"/>
          <w:smallCaps/>
          <w:color w:val="000000" w:themeColor="text1"/>
        </w:rPr>
        <w:t>etmann</w:t>
      </w:r>
      <w:proofErr w:type="spellEnd"/>
      <w:r w:rsidRPr="00AA656C">
        <w:rPr>
          <w:rFonts w:ascii="Garamond" w:hAnsi="Garamond"/>
          <w:smallCaps/>
          <w:color w:val="000000" w:themeColor="text1"/>
        </w:rPr>
        <w:t>,</w:t>
      </w:r>
      <w:r w:rsidRPr="00AA656C">
        <w:rPr>
          <w:rFonts w:ascii="Garamond" w:hAnsi="Garamond"/>
          <w:color w:val="000000" w:themeColor="text1"/>
        </w:rPr>
        <w:t> </w:t>
      </w:r>
      <w:r w:rsidRPr="00156101">
        <w:rPr>
          <w:rFonts w:ascii="Garamond" w:hAnsi="Garamond"/>
          <w:iCs/>
          <w:color w:val="000000" w:themeColor="text1"/>
        </w:rPr>
        <w:t>et al</w:t>
      </w:r>
      <w:r w:rsidRPr="00B935F1">
        <w:rPr>
          <w:rFonts w:ascii="Garamond" w:hAnsi="Garamond"/>
          <w:i/>
          <w:iCs/>
          <w:color w:val="000000" w:themeColor="text1"/>
        </w:rPr>
        <w:t>.</w:t>
      </w:r>
      <w:r w:rsidRPr="00B935F1">
        <w:rPr>
          <w:rFonts w:ascii="Garamond" w:hAnsi="Garamond"/>
          <w:color w:val="000000" w:themeColor="text1"/>
        </w:rPr>
        <w:t> </w:t>
      </w:r>
      <w:r w:rsidRPr="00156101">
        <w:rPr>
          <w:rFonts w:ascii="Garamond" w:hAnsi="Garamond"/>
          <w:i/>
          <w:color w:val="000000" w:themeColor="text1"/>
          <w:lang w:val="en-US"/>
        </w:rPr>
        <w:t>Claiming Health as a Public Good in the Post-COVID-19 Era</w:t>
      </w:r>
      <w:r w:rsidRPr="00156101">
        <w:rPr>
          <w:rFonts w:ascii="Garamond" w:hAnsi="Garamond"/>
          <w:color w:val="000000" w:themeColor="text1"/>
          <w:lang w:val="en-US"/>
        </w:rPr>
        <w:t>. </w:t>
      </w:r>
      <w:r w:rsidRPr="00156101">
        <w:rPr>
          <w:rFonts w:ascii="Garamond" w:hAnsi="Garamond"/>
          <w:i/>
          <w:iCs/>
          <w:color w:val="000000" w:themeColor="text1"/>
          <w:lang w:val="en-US"/>
        </w:rPr>
        <w:t>Development</w:t>
      </w:r>
      <w:r w:rsidRPr="00156101">
        <w:rPr>
          <w:rFonts w:ascii="Garamond" w:hAnsi="Garamond"/>
          <w:color w:val="000000" w:themeColor="text1"/>
          <w:lang w:val="en-US"/>
        </w:rPr>
        <w:t xml:space="preserve"> 63, 200–204 (2020). V. </w:t>
      </w:r>
      <w:proofErr w:type="spellStart"/>
      <w:r w:rsidRPr="00156101">
        <w:rPr>
          <w:rFonts w:ascii="Garamond" w:hAnsi="Garamond"/>
          <w:color w:val="000000" w:themeColor="text1"/>
          <w:lang w:val="en-US"/>
        </w:rPr>
        <w:t>sul</w:t>
      </w:r>
      <w:proofErr w:type="spellEnd"/>
      <w:r w:rsidRPr="00156101">
        <w:rPr>
          <w:rFonts w:ascii="Garamond" w:hAnsi="Garamond"/>
          <w:color w:val="000000" w:themeColor="text1"/>
          <w:lang w:val="en-US"/>
        </w:rPr>
        <w:t xml:space="preserve"> punto </w:t>
      </w:r>
      <w:proofErr w:type="spellStart"/>
      <w:r w:rsidRPr="00156101">
        <w:rPr>
          <w:rFonts w:ascii="Garamond" w:hAnsi="Garamond"/>
          <w:color w:val="000000" w:themeColor="text1"/>
          <w:lang w:val="en-US"/>
        </w:rPr>
        <w:t>anche</w:t>
      </w:r>
      <w:proofErr w:type="spellEnd"/>
      <w:r w:rsidRPr="00156101">
        <w:rPr>
          <w:rFonts w:ascii="Garamond" w:hAnsi="Garamond"/>
          <w:color w:val="000000" w:themeColor="text1"/>
          <w:lang w:val="en-US"/>
        </w:rPr>
        <w:t xml:space="preserve"> </w:t>
      </w:r>
      <w:r w:rsidRPr="00156101">
        <w:rPr>
          <w:rFonts w:ascii="Garamond" w:hAnsi="Garamond"/>
          <w:i/>
          <w:color w:val="000000" w:themeColor="text1"/>
          <w:lang w:val="en-US"/>
        </w:rPr>
        <w:t>WHO</w:t>
      </w:r>
      <w:r w:rsidRPr="00156101">
        <w:rPr>
          <w:rFonts w:ascii="Garamond" w:hAnsi="Garamond"/>
          <w:color w:val="000000" w:themeColor="text1"/>
          <w:lang w:val="en-US"/>
        </w:rPr>
        <w:t xml:space="preserve">, </w:t>
      </w:r>
      <w:r w:rsidRPr="00156101">
        <w:rPr>
          <w:rFonts w:ascii="Garamond" w:hAnsi="Garamond"/>
          <w:i/>
          <w:color w:val="000000" w:themeColor="text1"/>
          <w:lang w:val="en-US"/>
        </w:rPr>
        <w:t xml:space="preserve">Common goods for health, </w:t>
      </w:r>
      <w:hyperlink r:id="rId29" w:anchor="tab=tab_1" w:history="1">
        <w:r w:rsidRPr="00156101">
          <w:rPr>
            <w:rStyle w:val="Collegamentoipertestuale"/>
            <w:rFonts w:ascii="Garamond" w:hAnsi="Garamond"/>
            <w:color w:val="000000" w:themeColor="text1"/>
            <w:u w:val="none"/>
            <w:lang w:val="en-US"/>
          </w:rPr>
          <w:t>https://www.who.int/health-topics/common-goods-for-health#tab=tab_1</w:t>
        </w:r>
      </w:hyperlink>
      <w:r w:rsidRPr="00156101">
        <w:rPr>
          <w:rFonts w:ascii="Garamond" w:hAnsi="Garamond"/>
          <w:color w:val="000000" w:themeColor="text1"/>
          <w:lang w:val="en-US"/>
        </w:rPr>
        <w:t xml:space="preserve">.   </w:t>
      </w:r>
    </w:p>
  </w:footnote>
  <w:footnote w:id="93">
    <w:p w14:paraId="599A417C" w14:textId="203FB6C6"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Che viene anche pedissequamente richiamato, nella sua dimensione sociale, nel già esaminato caso </w:t>
      </w:r>
      <w:proofErr w:type="spellStart"/>
      <w:r w:rsidRPr="00B935F1">
        <w:rPr>
          <w:rFonts w:ascii="Garamond" w:hAnsi="Garamond"/>
          <w:i/>
          <w:color w:val="000000" w:themeColor="text1"/>
        </w:rPr>
        <w:t>Vavricka</w:t>
      </w:r>
      <w:proofErr w:type="spellEnd"/>
      <w:r w:rsidRPr="00B935F1">
        <w:rPr>
          <w:rFonts w:ascii="Garamond" w:hAnsi="Garamond"/>
          <w:i/>
          <w:color w:val="000000" w:themeColor="text1"/>
        </w:rPr>
        <w:t xml:space="preserve"> and Others c. </w:t>
      </w:r>
      <w:proofErr w:type="spellStart"/>
      <w:r w:rsidRPr="00B935F1">
        <w:rPr>
          <w:rFonts w:ascii="Garamond" w:hAnsi="Garamond"/>
          <w:i/>
          <w:color w:val="000000" w:themeColor="text1"/>
        </w:rPr>
        <w:t>Czech</w:t>
      </w:r>
      <w:proofErr w:type="spellEnd"/>
      <w:r w:rsidRPr="00B935F1">
        <w:rPr>
          <w:rFonts w:ascii="Garamond" w:hAnsi="Garamond"/>
          <w:i/>
          <w:color w:val="000000" w:themeColor="text1"/>
        </w:rPr>
        <w:t xml:space="preserve"> Republic</w:t>
      </w:r>
      <w:r w:rsidRPr="00B935F1">
        <w:rPr>
          <w:rFonts w:ascii="Garamond" w:hAnsi="Garamond"/>
          <w:color w:val="000000" w:themeColor="text1"/>
        </w:rPr>
        <w:t xml:space="preserve">. </w:t>
      </w:r>
      <w:r w:rsidRPr="00156101">
        <w:rPr>
          <w:rFonts w:ascii="Garamond" w:hAnsi="Garamond"/>
          <w:color w:val="000000" w:themeColor="text1"/>
          <w:lang w:val="en-US"/>
        </w:rPr>
        <w:t xml:space="preserve">«It should also be seen as encompassing the value of social solidarity, the purpose of the duty being to protect the health of all members of society, particularly those who are especially vulnerable with respect to certain diseases and on whose behalf the remainder». </w:t>
      </w:r>
      <w:r w:rsidRPr="00B935F1">
        <w:rPr>
          <w:rFonts w:ascii="Garamond" w:hAnsi="Garamond"/>
          <w:color w:val="000000" w:themeColor="text1"/>
        </w:rPr>
        <w:t>Par. 279.</w:t>
      </w:r>
    </w:p>
  </w:footnote>
  <w:footnote w:id="94">
    <w:p w14:paraId="0DCF28D0" w14:textId="6207432E"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 </w:t>
      </w:r>
      <w:r w:rsidRPr="00156101">
        <w:rPr>
          <w:rFonts w:ascii="Garamond" w:hAnsi="Garamond"/>
          <w:smallCaps/>
          <w:color w:val="000000" w:themeColor="text1"/>
        </w:rPr>
        <w:t>Poggi</w:t>
      </w:r>
      <w:r w:rsidRPr="00B935F1">
        <w:rPr>
          <w:rFonts w:ascii="Garamond" w:hAnsi="Garamond"/>
          <w:color w:val="000000" w:themeColor="text1"/>
        </w:rPr>
        <w:t xml:space="preserve">, </w:t>
      </w:r>
      <w:r w:rsidRPr="00B935F1">
        <w:rPr>
          <w:rFonts w:ascii="Garamond" w:hAnsi="Garamond"/>
          <w:i/>
          <w:color w:val="000000" w:themeColor="text1"/>
        </w:rPr>
        <w:t>Green pass, obbligo vaccinale e le scelte del Governo</w:t>
      </w:r>
      <w:r w:rsidRPr="00B935F1">
        <w:rPr>
          <w:rFonts w:ascii="Garamond" w:hAnsi="Garamond"/>
          <w:color w:val="000000" w:themeColor="text1"/>
        </w:rPr>
        <w:t xml:space="preserve">, in </w:t>
      </w:r>
      <w:r w:rsidRPr="00B935F1">
        <w:rPr>
          <w:rFonts w:ascii="Garamond" w:hAnsi="Garamond"/>
          <w:i/>
          <w:color w:val="000000" w:themeColor="text1"/>
        </w:rPr>
        <w:t>Federalismi</w:t>
      </w:r>
      <w:r w:rsidRPr="00B935F1">
        <w:rPr>
          <w:rFonts w:ascii="Garamond" w:hAnsi="Garamond"/>
          <w:color w:val="000000" w:themeColor="text1"/>
        </w:rPr>
        <w:t>, 2021, p. 7 e ss.</w:t>
      </w:r>
    </w:p>
  </w:footnote>
  <w:footnote w:id="95">
    <w:p w14:paraId="5F5D6337" w14:textId="6959F6E2"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E. </w:t>
      </w:r>
      <w:r w:rsidRPr="00156101">
        <w:rPr>
          <w:rFonts w:ascii="Garamond" w:hAnsi="Garamond"/>
          <w:smallCaps/>
          <w:color w:val="000000" w:themeColor="text1"/>
        </w:rPr>
        <w:t>Abramo</w:t>
      </w:r>
      <w:r w:rsidRPr="00B935F1">
        <w:rPr>
          <w:rFonts w:ascii="Garamond" w:hAnsi="Garamond"/>
          <w:color w:val="000000" w:themeColor="text1"/>
        </w:rPr>
        <w:t xml:space="preserve">, </w:t>
      </w:r>
      <w:r w:rsidRPr="00B935F1">
        <w:rPr>
          <w:rFonts w:ascii="Garamond" w:hAnsi="Garamond"/>
          <w:i/>
          <w:color w:val="000000" w:themeColor="text1"/>
        </w:rPr>
        <w:t>Il “green pass” viola la Costituzione? Risponde il giurista Antonio Saitta: “No, perché la libertà non è solo quella individuale</w:t>
      </w:r>
      <w:r w:rsidRPr="00B935F1">
        <w:rPr>
          <w:rFonts w:ascii="Garamond" w:hAnsi="Garamond"/>
          <w:color w:val="000000" w:themeColor="text1"/>
        </w:rPr>
        <w:t xml:space="preserve">”, in </w:t>
      </w:r>
      <w:r w:rsidRPr="00B935F1">
        <w:rPr>
          <w:rFonts w:ascii="Garamond" w:hAnsi="Garamond"/>
          <w:i/>
          <w:color w:val="000000" w:themeColor="text1"/>
        </w:rPr>
        <w:t>www.TGMessina.it</w:t>
      </w:r>
      <w:r w:rsidRPr="00B935F1">
        <w:rPr>
          <w:rFonts w:ascii="Garamond" w:hAnsi="Garamond"/>
          <w:color w:val="000000" w:themeColor="text1"/>
        </w:rPr>
        <w:t>, 2021.</w:t>
      </w:r>
    </w:p>
  </w:footnote>
  <w:footnote w:id="96">
    <w:p w14:paraId="1CB422E7" w14:textId="10A36D64" w:rsidR="006B1761" w:rsidRPr="0015610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Peraltro, l’Assemblea parlamentare del Consiglio d’Europa nel corso della pandemia da Covid-19 aveva esortato gli Stati membri a considerare la vaccinazione contro il patogeno «</w:t>
      </w:r>
      <w:proofErr w:type="spellStart"/>
      <w:r w:rsidRPr="00156101">
        <w:rPr>
          <w:rFonts w:ascii="Garamond" w:hAnsi="Garamond"/>
          <w:color w:val="000000" w:themeColor="text1"/>
        </w:rPr>
        <w:t>not</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mandatory</w:t>
      </w:r>
      <w:proofErr w:type="spellEnd"/>
      <w:r w:rsidRPr="00156101">
        <w:rPr>
          <w:rFonts w:ascii="Garamond" w:hAnsi="Garamond"/>
          <w:color w:val="000000" w:themeColor="text1"/>
        </w:rPr>
        <w:t xml:space="preserve"> and </w:t>
      </w:r>
      <w:proofErr w:type="spellStart"/>
      <w:r w:rsidRPr="00156101">
        <w:rPr>
          <w:rFonts w:ascii="Garamond" w:hAnsi="Garamond"/>
          <w:color w:val="000000" w:themeColor="text1"/>
        </w:rPr>
        <w:t>that</w:t>
      </w:r>
      <w:proofErr w:type="spellEnd"/>
      <w:r w:rsidRPr="00156101">
        <w:rPr>
          <w:rFonts w:ascii="Garamond" w:hAnsi="Garamond"/>
          <w:color w:val="000000" w:themeColor="text1"/>
        </w:rPr>
        <w:t xml:space="preserve"> no one </w:t>
      </w:r>
      <w:proofErr w:type="spellStart"/>
      <w:r w:rsidRPr="00156101">
        <w:rPr>
          <w:rFonts w:ascii="Garamond" w:hAnsi="Garamond"/>
          <w:color w:val="000000" w:themeColor="text1"/>
        </w:rPr>
        <w:t>is</w:t>
      </w:r>
      <w:proofErr w:type="spellEnd"/>
      <w:r w:rsidRPr="00156101">
        <w:rPr>
          <w:rFonts w:ascii="Garamond" w:hAnsi="Garamond"/>
          <w:color w:val="000000" w:themeColor="text1"/>
        </w:rPr>
        <w:t xml:space="preserve"> under </w:t>
      </w:r>
      <w:proofErr w:type="spellStart"/>
      <w:r w:rsidRPr="00156101">
        <w:rPr>
          <w:rFonts w:ascii="Garamond" w:hAnsi="Garamond"/>
          <w:color w:val="000000" w:themeColor="text1"/>
        </w:rPr>
        <w:t>political</w:t>
      </w:r>
      <w:proofErr w:type="spellEnd"/>
      <w:r w:rsidRPr="00156101">
        <w:rPr>
          <w:rFonts w:ascii="Garamond" w:hAnsi="Garamond"/>
          <w:color w:val="000000" w:themeColor="text1"/>
        </w:rPr>
        <w:t xml:space="preserve">, social or other pressure to be </w:t>
      </w:r>
      <w:proofErr w:type="spellStart"/>
      <w:r w:rsidRPr="00156101">
        <w:rPr>
          <w:rFonts w:ascii="Garamond" w:hAnsi="Garamond"/>
          <w:color w:val="000000" w:themeColor="text1"/>
        </w:rPr>
        <w:t>vaccinated</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if</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they</w:t>
      </w:r>
      <w:proofErr w:type="spellEnd"/>
      <w:r w:rsidRPr="00156101">
        <w:rPr>
          <w:rFonts w:ascii="Garamond" w:hAnsi="Garamond"/>
          <w:color w:val="000000" w:themeColor="text1"/>
        </w:rPr>
        <w:t xml:space="preserve"> do </w:t>
      </w:r>
      <w:proofErr w:type="spellStart"/>
      <w:r w:rsidRPr="00156101">
        <w:rPr>
          <w:rFonts w:ascii="Garamond" w:hAnsi="Garamond"/>
          <w:color w:val="000000" w:themeColor="text1"/>
        </w:rPr>
        <w:t>not</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wish</w:t>
      </w:r>
      <w:proofErr w:type="spellEnd"/>
      <w:r w:rsidRPr="00156101">
        <w:rPr>
          <w:rFonts w:ascii="Garamond" w:hAnsi="Garamond"/>
          <w:color w:val="000000" w:themeColor="text1"/>
        </w:rPr>
        <w:t xml:space="preserve"> to do so</w:t>
      </w:r>
      <w:r w:rsidRPr="00B935F1">
        <w:rPr>
          <w:rFonts w:ascii="Garamond" w:hAnsi="Garamond"/>
          <w:color w:val="000000" w:themeColor="text1"/>
        </w:rPr>
        <w:t>», al fine di assicurare che «</w:t>
      </w:r>
      <w:r w:rsidRPr="00156101">
        <w:rPr>
          <w:rFonts w:ascii="Garamond" w:hAnsi="Garamond"/>
          <w:color w:val="000000" w:themeColor="text1"/>
        </w:rPr>
        <w:t xml:space="preserve">no one </w:t>
      </w:r>
      <w:proofErr w:type="spellStart"/>
      <w:r w:rsidRPr="00156101">
        <w:rPr>
          <w:rFonts w:ascii="Garamond" w:hAnsi="Garamond"/>
          <w:color w:val="000000" w:themeColor="text1"/>
        </w:rPr>
        <w:t>is</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discriminated</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against</w:t>
      </w:r>
      <w:proofErr w:type="spellEnd"/>
      <w:r w:rsidRPr="00156101">
        <w:rPr>
          <w:rFonts w:ascii="Garamond" w:hAnsi="Garamond"/>
          <w:color w:val="000000" w:themeColor="text1"/>
        </w:rPr>
        <w:t xml:space="preserve"> for </w:t>
      </w:r>
      <w:proofErr w:type="spellStart"/>
      <w:r w:rsidRPr="00156101">
        <w:rPr>
          <w:rFonts w:ascii="Garamond" w:hAnsi="Garamond"/>
          <w:color w:val="000000" w:themeColor="text1"/>
        </w:rPr>
        <w:t>not</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having</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been</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vaccinated</w:t>
      </w:r>
      <w:proofErr w:type="spellEnd"/>
      <w:r w:rsidRPr="00156101">
        <w:rPr>
          <w:rFonts w:ascii="Garamond" w:hAnsi="Garamond"/>
          <w:color w:val="000000" w:themeColor="text1"/>
        </w:rPr>
        <w:t xml:space="preserve">, due to </w:t>
      </w:r>
      <w:proofErr w:type="spellStart"/>
      <w:r w:rsidRPr="00156101">
        <w:rPr>
          <w:rFonts w:ascii="Garamond" w:hAnsi="Garamond"/>
          <w:color w:val="000000" w:themeColor="text1"/>
        </w:rPr>
        <w:t>possible</w:t>
      </w:r>
      <w:proofErr w:type="spellEnd"/>
      <w:r w:rsidRPr="00156101">
        <w:rPr>
          <w:rFonts w:ascii="Garamond" w:hAnsi="Garamond"/>
          <w:color w:val="000000" w:themeColor="text1"/>
        </w:rPr>
        <w:t xml:space="preserve"> health risks or </w:t>
      </w:r>
      <w:proofErr w:type="spellStart"/>
      <w:r w:rsidRPr="00156101">
        <w:rPr>
          <w:rFonts w:ascii="Garamond" w:hAnsi="Garamond"/>
          <w:color w:val="000000" w:themeColor="text1"/>
        </w:rPr>
        <w:t>not</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wanting</w:t>
      </w:r>
      <w:proofErr w:type="spellEnd"/>
      <w:r w:rsidRPr="00156101">
        <w:rPr>
          <w:rFonts w:ascii="Garamond" w:hAnsi="Garamond"/>
          <w:color w:val="000000" w:themeColor="text1"/>
        </w:rPr>
        <w:t xml:space="preserve"> to be </w:t>
      </w:r>
      <w:proofErr w:type="spellStart"/>
      <w:r w:rsidRPr="00156101">
        <w:rPr>
          <w:rFonts w:ascii="Garamond" w:hAnsi="Garamond"/>
          <w:color w:val="000000" w:themeColor="text1"/>
        </w:rPr>
        <w:t>vaccinated</w:t>
      </w:r>
      <w:proofErr w:type="spellEnd"/>
      <w:r w:rsidRPr="00AA656C">
        <w:rPr>
          <w:rFonts w:ascii="Garamond" w:hAnsi="Garamond"/>
          <w:color w:val="000000" w:themeColor="text1"/>
        </w:rPr>
        <w:t xml:space="preserve">». </w:t>
      </w:r>
      <w:proofErr w:type="spellStart"/>
      <w:r w:rsidRPr="00156101">
        <w:rPr>
          <w:rFonts w:ascii="Garamond" w:hAnsi="Garamond"/>
          <w:color w:val="000000" w:themeColor="text1"/>
        </w:rPr>
        <w:t>Resolution</w:t>
      </w:r>
      <w:proofErr w:type="spellEnd"/>
      <w:r w:rsidRPr="00156101">
        <w:rPr>
          <w:rFonts w:ascii="Garamond" w:hAnsi="Garamond"/>
          <w:color w:val="000000" w:themeColor="text1"/>
        </w:rPr>
        <w:t xml:space="preserve"> n. 2361/2021 par. 7.3.1; 7.3.2, cit. </w:t>
      </w:r>
    </w:p>
  </w:footnote>
  <w:footnote w:id="97">
    <w:p w14:paraId="45ABBD4D" w14:textId="008E31FB"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In un comunicato stampa precedente, infatti, l’organizzazione di Strasburgo avvertiva come l’introduzione di tale strumento quale condizione esclusiva per l’accesso a beni e servizi potesse sollevare «</w:t>
      </w:r>
      <w:proofErr w:type="spellStart"/>
      <w:r w:rsidRPr="00156101">
        <w:rPr>
          <w:rFonts w:ascii="Garamond" w:hAnsi="Garamond"/>
          <w:color w:val="000000" w:themeColor="text1"/>
        </w:rPr>
        <w:t>many</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questions</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related</w:t>
      </w:r>
      <w:proofErr w:type="spellEnd"/>
      <w:r w:rsidRPr="00156101">
        <w:rPr>
          <w:rFonts w:ascii="Garamond" w:hAnsi="Garamond"/>
          <w:color w:val="000000" w:themeColor="text1"/>
        </w:rPr>
        <w:t xml:space="preserve"> to </w:t>
      </w:r>
      <w:proofErr w:type="spellStart"/>
      <w:r w:rsidRPr="00156101">
        <w:rPr>
          <w:rFonts w:ascii="Garamond" w:hAnsi="Garamond"/>
          <w:color w:val="000000" w:themeColor="text1"/>
        </w:rPr>
        <w:t>respect</w:t>
      </w:r>
      <w:proofErr w:type="spellEnd"/>
      <w:r w:rsidRPr="00156101">
        <w:rPr>
          <w:rFonts w:ascii="Garamond" w:hAnsi="Garamond"/>
          <w:color w:val="000000" w:themeColor="text1"/>
        </w:rPr>
        <w:t xml:space="preserve"> for human </w:t>
      </w:r>
      <w:proofErr w:type="spellStart"/>
      <w:r w:rsidRPr="00156101">
        <w:rPr>
          <w:rFonts w:ascii="Garamond" w:hAnsi="Garamond"/>
          <w:color w:val="000000" w:themeColor="text1"/>
        </w:rPr>
        <w:t>rights</w:t>
      </w:r>
      <w:proofErr w:type="spellEnd"/>
      <w:r w:rsidRPr="00156101">
        <w:rPr>
          <w:rFonts w:ascii="Garamond" w:hAnsi="Garamond"/>
          <w:color w:val="000000" w:themeColor="text1"/>
        </w:rPr>
        <w:t xml:space="preserve"> and </w:t>
      </w:r>
      <w:proofErr w:type="spellStart"/>
      <w:r w:rsidRPr="00156101">
        <w:rPr>
          <w:rFonts w:ascii="Garamond" w:hAnsi="Garamond"/>
          <w:color w:val="000000" w:themeColor="text1"/>
        </w:rPr>
        <w:t>should</w:t>
      </w:r>
      <w:proofErr w:type="spellEnd"/>
      <w:r w:rsidRPr="00156101">
        <w:rPr>
          <w:rFonts w:ascii="Garamond" w:hAnsi="Garamond"/>
          <w:color w:val="000000" w:themeColor="text1"/>
        </w:rPr>
        <w:t xml:space="preserve"> be </w:t>
      </w:r>
      <w:proofErr w:type="spellStart"/>
      <w:r w:rsidRPr="00156101">
        <w:rPr>
          <w:rFonts w:ascii="Garamond" w:hAnsi="Garamond"/>
          <w:color w:val="000000" w:themeColor="text1"/>
        </w:rPr>
        <w:t>considered</w:t>
      </w:r>
      <w:proofErr w:type="spellEnd"/>
      <w:r w:rsidRPr="00156101">
        <w:rPr>
          <w:rFonts w:ascii="Garamond" w:hAnsi="Garamond"/>
          <w:color w:val="000000" w:themeColor="text1"/>
        </w:rPr>
        <w:t xml:space="preserve"> with </w:t>
      </w:r>
      <w:proofErr w:type="spellStart"/>
      <w:r w:rsidRPr="00156101">
        <w:rPr>
          <w:rFonts w:ascii="Garamond" w:hAnsi="Garamond"/>
          <w:color w:val="000000" w:themeColor="text1"/>
        </w:rPr>
        <w:t>caution</w:t>
      </w:r>
      <w:proofErr w:type="spellEnd"/>
      <w:r w:rsidRPr="00AA656C">
        <w:rPr>
          <w:rFonts w:ascii="Garamond" w:hAnsi="Garamond"/>
          <w:color w:val="000000" w:themeColor="text1"/>
        </w:rPr>
        <w:t xml:space="preserve">». </w:t>
      </w:r>
      <w:r w:rsidRPr="00156101">
        <w:rPr>
          <w:rFonts w:ascii="Garamond" w:hAnsi="Garamond"/>
          <w:color w:val="000000" w:themeColor="text1"/>
          <w:lang w:val="en-US"/>
        </w:rPr>
        <w:t xml:space="preserve">COE, </w:t>
      </w:r>
      <w:r w:rsidRPr="00B935F1">
        <w:rPr>
          <w:rFonts w:ascii="Garamond" w:hAnsi="Garamond"/>
          <w:i/>
          <w:color w:val="000000" w:themeColor="text1"/>
          <w:lang w:val="en-US"/>
        </w:rPr>
        <w:t>Vaccine passports: Council of Europe issues guidance to governments to safeguard human rights</w:t>
      </w:r>
      <w:r w:rsidRPr="00B935F1">
        <w:rPr>
          <w:rFonts w:ascii="Garamond" w:hAnsi="Garamond"/>
          <w:color w:val="000000" w:themeColor="text1"/>
          <w:lang w:val="en-US"/>
        </w:rPr>
        <w:t xml:space="preserve">, 14 </w:t>
      </w:r>
      <w:proofErr w:type="spellStart"/>
      <w:r w:rsidRPr="00B935F1">
        <w:rPr>
          <w:rFonts w:ascii="Garamond" w:hAnsi="Garamond"/>
          <w:color w:val="000000" w:themeColor="text1"/>
          <w:lang w:val="en-US"/>
        </w:rPr>
        <w:t>aprile</w:t>
      </w:r>
      <w:proofErr w:type="spellEnd"/>
      <w:r w:rsidRPr="00B935F1">
        <w:rPr>
          <w:rFonts w:ascii="Garamond" w:hAnsi="Garamond"/>
          <w:color w:val="000000" w:themeColor="text1"/>
          <w:lang w:val="en-US"/>
        </w:rPr>
        <w:t xml:space="preserve"> 2021, </w:t>
      </w:r>
      <w:hyperlink r:id="rId30" w:history="1">
        <w:r w:rsidRPr="00B935F1">
          <w:rPr>
            <w:rStyle w:val="Collegamentoipertestuale"/>
            <w:rFonts w:ascii="Garamond" w:hAnsi="Garamond"/>
            <w:color w:val="000000" w:themeColor="text1"/>
            <w:u w:val="none"/>
            <w:lang w:val="en-US"/>
          </w:rPr>
          <w:t>https://www.coe.int/en/web/portal/-/vaccine-passports-council-of-europe-issues-guidance-to-governments-to-safeguard-human-rights</w:t>
        </w:r>
      </w:hyperlink>
      <w:r w:rsidRPr="00B935F1">
        <w:rPr>
          <w:rFonts w:ascii="Garamond" w:hAnsi="Garamond"/>
          <w:color w:val="000000" w:themeColor="text1"/>
          <w:lang w:val="en-US"/>
        </w:rPr>
        <w:t>.</w:t>
      </w:r>
    </w:p>
  </w:footnote>
  <w:footnote w:id="98">
    <w:p w14:paraId="688A1474" w14:textId="73001A4E"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w:t>
      </w:r>
      <w:r w:rsidRPr="00B935F1">
        <w:rPr>
          <w:rFonts w:ascii="Garamond" w:hAnsi="Garamond"/>
          <w:i/>
          <w:color w:val="000000" w:themeColor="text1"/>
          <w:lang w:val="en-US"/>
        </w:rPr>
        <w:t>COE</w:t>
      </w:r>
      <w:r w:rsidRPr="00B935F1">
        <w:rPr>
          <w:rFonts w:ascii="Garamond" w:hAnsi="Garamond"/>
          <w:color w:val="000000" w:themeColor="text1"/>
          <w:lang w:val="en-US"/>
        </w:rPr>
        <w:t xml:space="preserve">, </w:t>
      </w:r>
      <w:r w:rsidRPr="00B935F1">
        <w:rPr>
          <w:rFonts w:ascii="Garamond" w:hAnsi="Garamond"/>
          <w:i/>
          <w:iCs/>
          <w:color w:val="000000" w:themeColor="text1"/>
          <w:lang w:val="en-US"/>
        </w:rPr>
        <w:t xml:space="preserve">Vaccine pass : yes, but with strict respect of Human rights, </w:t>
      </w:r>
      <w:r w:rsidRPr="00B935F1">
        <w:rPr>
          <w:rFonts w:ascii="Garamond" w:hAnsi="Garamond"/>
          <w:color w:val="000000" w:themeColor="text1"/>
          <w:lang w:val="en-US"/>
        </w:rPr>
        <w:t xml:space="preserve">2021, </w:t>
      </w:r>
      <w:hyperlink r:id="rId31" w:history="1">
        <w:r w:rsidRPr="00B935F1">
          <w:rPr>
            <w:rStyle w:val="Collegamentoipertestuale"/>
            <w:rFonts w:ascii="Garamond" w:hAnsi="Garamond"/>
            <w:color w:val="000000" w:themeColor="text1"/>
            <w:u w:val="none"/>
            <w:lang w:val="en-US"/>
          </w:rPr>
          <w:t>https://www.coe.int/en/web/data-protection/-/vaccine-pass-yes-but-with-strict-respect-of-human-rights</w:t>
        </w:r>
      </w:hyperlink>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Successivamente</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nella</w:t>
      </w:r>
      <w:proofErr w:type="spellEnd"/>
      <w:r w:rsidRPr="00B935F1">
        <w:rPr>
          <w:rFonts w:ascii="Garamond" w:hAnsi="Garamond"/>
          <w:color w:val="000000" w:themeColor="text1"/>
          <w:lang w:val="en-US"/>
        </w:rPr>
        <w:t xml:space="preserve"> </w:t>
      </w:r>
      <w:proofErr w:type="spellStart"/>
      <w:r w:rsidR="00AA656C">
        <w:rPr>
          <w:rFonts w:ascii="Garamond" w:hAnsi="Garamond"/>
          <w:color w:val="000000" w:themeColor="text1"/>
          <w:lang w:val="en-US"/>
        </w:rPr>
        <w:t>r</w:t>
      </w:r>
      <w:r w:rsidRPr="00B935F1">
        <w:rPr>
          <w:rFonts w:ascii="Garamond" w:hAnsi="Garamond"/>
          <w:color w:val="000000" w:themeColor="text1"/>
          <w:lang w:val="en-US"/>
        </w:rPr>
        <w:t>isoluzione</w:t>
      </w:r>
      <w:proofErr w:type="spellEnd"/>
      <w:r w:rsidRPr="00B935F1">
        <w:rPr>
          <w:rFonts w:ascii="Garamond" w:hAnsi="Garamond"/>
          <w:color w:val="000000" w:themeColor="text1"/>
          <w:lang w:val="en-US"/>
        </w:rPr>
        <w:t xml:space="preserve"> n. 2383 del 22 </w:t>
      </w:r>
      <w:proofErr w:type="spellStart"/>
      <w:r w:rsidRPr="00B935F1">
        <w:rPr>
          <w:rFonts w:ascii="Garamond" w:hAnsi="Garamond"/>
          <w:color w:val="000000" w:themeColor="text1"/>
          <w:lang w:val="en-US"/>
        </w:rPr>
        <w:t>giugno</w:t>
      </w:r>
      <w:proofErr w:type="spellEnd"/>
      <w:r w:rsidRPr="00B935F1">
        <w:rPr>
          <w:rFonts w:ascii="Garamond" w:hAnsi="Garamond"/>
          <w:color w:val="000000" w:themeColor="text1"/>
          <w:lang w:val="en-US"/>
        </w:rPr>
        <w:t xml:space="preserve"> 2021, </w:t>
      </w:r>
      <w:proofErr w:type="spellStart"/>
      <w:r w:rsidRPr="00B935F1">
        <w:rPr>
          <w:rFonts w:ascii="Garamond" w:hAnsi="Garamond"/>
          <w:color w:val="000000" w:themeColor="text1"/>
          <w:lang w:val="en-US"/>
        </w:rPr>
        <w:t>l’Assemblea</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parlamentare</w:t>
      </w:r>
      <w:proofErr w:type="spellEnd"/>
      <w:r w:rsidRPr="00B935F1">
        <w:rPr>
          <w:rFonts w:ascii="Garamond" w:hAnsi="Garamond"/>
          <w:color w:val="000000" w:themeColor="text1"/>
          <w:lang w:val="en-US"/>
        </w:rPr>
        <w:t xml:space="preserve"> del </w:t>
      </w:r>
      <w:proofErr w:type="spellStart"/>
      <w:r w:rsidRPr="00B935F1">
        <w:rPr>
          <w:rFonts w:ascii="Garamond" w:hAnsi="Garamond"/>
          <w:color w:val="000000" w:themeColor="text1"/>
          <w:lang w:val="en-US"/>
        </w:rPr>
        <w:t>Consiglio</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d’Europa</w:t>
      </w:r>
      <w:proofErr w:type="spellEnd"/>
      <w:r w:rsidRPr="00B935F1">
        <w:rPr>
          <w:rFonts w:ascii="Garamond" w:hAnsi="Garamond"/>
          <w:color w:val="000000" w:themeColor="text1"/>
          <w:lang w:val="en-US"/>
        </w:rPr>
        <w:t xml:space="preserve"> ha </w:t>
      </w:r>
      <w:proofErr w:type="spellStart"/>
      <w:r w:rsidRPr="00B935F1">
        <w:rPr>
          <w:rFonts w:ascii="Garamond" w:hAnsi="Garamond"/>
          <w:color w:val="000000" w:themeColor="text1"/>
          <w:lang w:val="en-US"/>
        </w:rPr>
        <w:t>chiarito</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i</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criteri</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che</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dovrebbero</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ispirare</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l’azione</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dei</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legislatori</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nazionali</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nell’introduzione</w:t>
      </w:r>
      <w:proofErr w:type="spellEnd"/>
      <w:r w:rsidRPr="00B935F1">
        <w:rPr>
          <w:rFonts w:ascii="Garamond" w:hAnsi="Garamond"/>
          <w:color w:val="000000" w:themeColor="text1"/>
          <w:lang w:val="en-US"/>
        </w:rPr>
        <w:t xml:space="preserve"> del pass </w:t>
      </w:r>
      <w:proofErr w:type="spellStart"/>
      <w:r w:rsidRPr="00B935F1">
        <w:rPr>
          <w:rFonts w:ascii="Garamond" w:hAnsi="Garamond"/>
          <w:color w:val="000000" w:themeColor="text1"/>
          <w:lang w:val="en-US"/>
        </w:rPr>
        <w:t>sanitario</w:t>
      </w:r>
      <w:proofErr w:type="spellEnd"/>
      <w:r w:rsidRPr="00B935F1">
        <w:rPr>
          <w:rFonts w:ascii="Garamond" w:hAnsi="Garamond"/>
          <w:color w:val="000000" w:themeColor="text1"/>
          <w:lang w:val="en-US"/>
        </w:rPr>
        <w:t xml:space="preserve">, in </w:t>
      </w:r>
      <w:proofErr w:type="spellStart"/>
      <w:r w:rsidRPr="00B935F1">
        <w:rPr>
          <w:rFonts w:ascii="Garamond" w:hAnsi="Garamond"/>
          <w:color w:val="000000" w:themeColor="text1"/>
          <w:lang w:val="en-US"/>
        </w:rPr>
        <w:t>particolare</w:t>
      </w:r>
      <w:proofErr w:type="spellEnd"/>
      <w:r w:rsidRPr="00B935F1">
        <w:rPr>
          <w:rFonts w:ascii="Garamond" w:hAnsi="Garamond"/>
          <w:color w:val="000000" w:themeColor="text1"/>
          <w:lang w:val="en-US"/>
        </w:rPr>
        <w:t xml:space="preserve"> </w:t>
      </w:r>
      <w:r w:rsidRPr="00156101">
        <w:rPr>
          <w:rFonts w:ascii="Garamond" w:hAnsi="Garamond"/>
          <w:color w:val="000000" w:themeColor="text1"/>
          <w:lang w:val="en-US"/>
        </w:rPr>
        <w:t>«institute Covid pass regimes only when clear and well-established scientific evidence exists that such regimes lower the risk of transmission of the SARS-CoV-2 virus to an acceptable level from a public health point of view»</w:t>
      </w:r>
      <w:r w:rsidRPr="00AA656C">
        <w:rPr>
          <w:rFonts w:ascii="Garamond" w:hAnsi="Garamond"/>
          <w:color w:val="000000" w:themeColor="text1"/>
          <w:lang w:val="en-US"/>
        </w:rPr>
        <w:t xml:space="preserve">, </w:t>
      </w:r>
      <w:proofErr w:type="spellStart"/>
      <w:r w:rsidRPr="00AA656C">
        <w:rPr>
          <w:rFonts w:ascii="Garamond" w:hAnsi="Garamond"/>
          <w:color w:val="000000" w:themeColor="text1"/>
          <w:lang w:val="en-US"/>
        </w:rPr>
        <w:t>così</w:t>
      </w:r>
      <w:proofErr w:type="spellEnd"/>
      <w:r w:rsidRPr="00AA656C">
        <w:rPr>
          <w:rFonts w:ascii="Garamond" w:hAnsi="Garamond"/>
          <w:color w:val="000000" w:themeColor="text1"/>
          <w:lang w:val="en-US"/>
        </w:rPr>
        <w:t xml:space="preserve"> come, </w:t>
      </w:r>
      <w:proofErr w:type="spellStart"/>
      <w:r w:rsidRPr="00AA656C">
        <w:rPr>
          <w:rFonts w:ascii="Garamond" w:hAnsi="Garamond"/>
          <w:color w:val="000000" w:themeColor="text1"/>
          <w:lang w:val="en-US"/>
        </w:rPr>
        <w:t>assicurare</w:t>
      </w:r>
      <w:proofErr w:type="spellEnd"/>
      <w:r w:rsidRPr="00AA656C">
        <w:rPr>
          <w:rFonts w:ascii="Garamond" w:hAnsi="Garamond"/>
          <w:color w:val="000000" w:themeColor="text1"/>
          <w:lang w:val="en-US"/>
        </w:rPr>
        <w:t xml:space="preserve"> un </w:t>
      </w:r>
      <w:proofErr w:type="spellStart"/>
      <w:r w:rsidRPr="00AA656C">
        <w:rPr>
          <w:rFonts w:ascii="Garamond" w:hAnsi="Garamond"/>
          <w:color w:val="000000" w:themeColor="text1"/>
          <w:lang w:val="en-US"/>
        </w:rPr>
        <w:t>uso</w:t>
      </w:r>
      <w:proofErr w:type="spellEnd"/>
      <w:r w:rsidRPr="00AA656C">
        <w:rPr>
          <w:rFonts w:ascii="Garamond" w:hAnsi="Garamond"/>
          <w:color w:val="000000" w:themeColor="text1"/>
          <w:lang w:val="en-US"/>
        </w:rPr>
        <w:t xml:space="preserve"> di tale </w:t>
      </w:r>
      <w:proofErr w:type="spellStart"/>
      <w:r w:rsidRPr="00AA656C">
        <w:rPr>
          <w:rFonts w:ascii="Garamond" w:hAnsi="Garamond"/>
          <w:color w:val="000000" w:themeColor="text1"/>
          <w:lang w:val="en-US"/>
        </w:rPr>
        <w:t>strumento</w:t>
      </w:r>
      <w:proofErr w:type="spellEnd"/>
      <w:r w:rsidRPr="00AA656C">
        <w:rPr>
          <w:rFonts w:ascii="Garamond" w:hAnsi="Garamond"/>
          <w:color w:val="000000" w:themeColor="text1"/>
          <w:lang w:val="en-US"/>
        </w:rPr>
        <w:t xml:space="preserve"> in modo da</w:t>
      </w:r>
      <w:r w:rsidRPr="00156101">
        <w:rPr>
          <w:rFonts w:ascii="Garamond" w:hAnsi="Garamond"/>
          <w:color w:val="000000" w:themeColor="text1"/>
          <w:lang w:val="en-US"/>
        </w:rPr>
        <w:t xml:space="preserve"> «avoid discrimination, in particular by ensuring that</w:t>
      </w:r>
      <w:r w:rsidRPr="00AA656C">
        <w:rPr>
          <w:rFonts w:ascii="Garamond" w:hAnsi="Garamond"/>
          <w:color w:val="000000" w:themeColor="text1"/>
          <w:lang w:val="en-US"/>
        </w:rPr>
        <w:t xml:space="preserve"> (…) </w:t>
      </w:r>
      <w:r w:rsidRPr="00156101">
        <w:rPr>
          <w:rFonts w:ascii="Garamond" w:hAnsi="Garamond"/>
          <w:color w:val="000000" w:themeColor="text1"/>
          <w:lang w:val="en-US"/>
        </w:rPr>
        <w:t>due account is taken of the situation of those who, for medical reasons, cannot be vaccinated or who, for reasons of personal opinion or belief, decline to be vaccinated»</w:t>
      </w:r>
      <w:r w:rsidRPr="00B935F1">
        <w:rPr>
          <w:rFonts w:ascii="Garamond" w:hAnsi="Garamond"/>
          <w:color w:val="000000" w:themeColor="text1"/>
          <w:lang w:val="en-US"/>
        </w:rPr>
        <w:t>.</w:t>
      </w:r>
    </w:p>
  </w:footnote>
  <w:footnote w:id="99">
    <w:p w14:paraId="143F8C0C" w14:textId="352C94DD"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Secondo tale dottrina, la necessità di osservare i doveri inderogabili di solidarietà di cui all’art. 2 Cost è connessa con il rispettivo dovere del singolo cittadino di essere fedele alla Repubblica </w:t>
      </w:r>
      <w:r w:rsidRPr="00B935F1">
        <w:rPr>
          <w:rFonts w:ascii="Garamond" w:hAnsi="Garamond"/>
          <w:i/>
          <w:color w:val="000000" w:themeColor="text1"/>
        </w:rPr>
        <w:t>ex</w:t>
      </w:r>
      <w:r w:rsidRPr="00B935F1">
        <w:rPr>
          <w:rFonts w:ascii="Garamond" w:hAnsi="Garamond"/>
          <w:color w:val="000000" w:themeColor="text1"/>
        </w:rPr>
        <w:t xml:space="preserve"> art. 54 Cost. per via della sua appartenenza ad una comunità, ad un gruppo. </w:t>
      </w:r>
      <w:r w:rsidRPr="00B935F1">
        <w:rPr>
          <w:rFonts w:ascii="Garamond" w:hAnsi="Garamond"/>
          <w:smallCaps/>
          <w:color w:val="000000" w:themeColor="text1"/>
        </w:rPr>
        <w:t>A. Ruggeri</w:t>
      </w:r>
      <w:r w:rsidRPr="00B935F1">
        <w:rPr>
          <w:rFonts w:ascii="Garamond" w:hAnsi="Garamond"/>
          <w:color w:val="000000" w:themeColor="text1"/>
        </w:rPr>
        <w:t xml:space="preserve">, </w:t>
      </w:r>
      <w:r w:rsidRPr="00B935F1">
        <w:rPr>
          <w:rFonts w:ascii="Garamond" w:hAnsi="Garamond"/>
          <w:i/>
          <w:iCs/>
          <w:color w:val="000000" w:themeColor="text1"/>
        </w:rPr>
        <w:t xml:space="preserve">La vaccinazione contro il COVID-19: tra autodeterminazione e </w:t>
      </w:r>
      <w:r w:rsidRPr="00B935F1">
        <w:rPr>
          <w:rFonts w:ascii="Garamond" w:hAnsi="Garamond"/>
          <w:iCs/>
          <w:color w:val="000000" w:themeColor="text1"/>
        </w:rPr>
        <w:t xml:space="preserve">solidarietà, </w:t>
      </w:r>
      <w:r w:rsidRPr="00B935F1">
        <w:rPr>
          <w:rFonts w:ascii="Garamond" w:hAnsi="Garamond"/>
          <w:color w:val="000000" w:themeColor="text1"/>
        </w:rPr>
        <w:t xml:space="preserve">in </w:t>
      </w:r>
      <w:r w:rsidRPr="00B935F1">
        <w:rPr>
          <w:rFonts w:ascii="Garamond" w:hAnsi="Garamond"/>
          <w:i/>
          <w:color w:val="000000" w:themeColor="text1"/>
        </w:rPr>
        <w:t>Dirittifondamentali.it</w:t>
      </w:r>
      <w:r w:rsidRPr="00B935F1">
        <w:rPr>
          <w:rFonts w:ascii="Garamond" w:hAnsi="Garamond"/>
          <w:color w:val="000000" w:themeColor="text1"/>
        </w:rPr>
        <w:t>, 2021, p. 170 e ss.</w:t>
      </w:r>
    </w:p>
  </w:footnote>
  <w:footnote w:id="100">
    <w:p w14:paraId="64EC5D08" w14:textId="0B46628D"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Dal report </w:t>
      </w:r>
      <w:proofErr w:type="spellStart"/>
      <w:r w:rsidRPr="00B935F1">
        <w:rPr>
          <w:rFonts w:ascii="Garamond" w:hAnsi="Garamond"/>
          <w:color w:val="000000" w:themeColor="text1"/>
          <w:lang w:val="en-US"/>
        </w:rPr>
        <w:t>dell’</w:t>
      </w:r>
      <w:r w:rsidR="005220D4" w:rsidRPr="00B935F1">
        <w:rPr>
          <w:rFonts w:ascii="Garamond" w:hAnsi="Garamond"/>
          <w:color w:val="000000" w:themeColor="text1"/>
          <w:lang w:val="en-US"/>
        </w:rPr>
        <w:t>A</w:t>
      </w:r>
      <w:r w:rsidRPr="00B935F1">
        <w:rPr>
          <w:rFonts w:ascii="Garamond" w:hAnsi="Garamond"/>
          <w:color w:val="000000" w:themeColor="text1"/>
          <w:lang w:val="en-US"/>
        </w:rPr>
        <w:t>genzia</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onusiana</w:t>
      </w:r>
      <w:proofErr w:type="spellEnd"/>
      <w:r w:rsidRPr="00B935F1">
        <w:rPr>
          <w:rFonts w:ascii="Garamond" w:hAnsi="Garamond"/>
          <w:color w:val="000000" w:themeColor="text1"/>
          <w:lang w:val="en-US"/>
        </w:rPr>
        <w:t xml:space="preserve"> per la salute emerge, </w:t>
      </w:r>
      <w:proofErr w:type="spellStart"/>
      <w:r w:rsidRPr="00B935F1">
        <w:rPr>
          <w:rFonts w:ascii="Garamond" w:hAnsi="Garamond"/>
          <w:color w:val="000000" w:themeColor="text1"/>
          <w:lang w:val="en-US"/>
        </w:rPr>
        <w:t>infatti</w:t>
      </w:r>
      <w:proofErr w:type="spellEnd"/>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che</w:t>
      </w:r>
      <w:proofErr w:type="spellEnd"/>
      <w:r w:rsidRPr="00B935F1">
        <w:rPr>
          <w:rFonts w:ascii="Garamond" w:hAnsi="Garamond"/>
          <w:color w:val="000000" w:themeColor="text1"/>
          <w:lang w:val="en-US"/>
        </w:rPr>
        <w:t xml:space="preserve"> </w:t>
      </w:r>
      <w:r w:rsidRPr="00156101">
        <w:rPr>
          <w:rFonts w:ascii="Garamond" w:hAnsi="Garamond"/>
          <w:i/>
          <w:color w:val="000000" w:themeColor="text1"/>
          <w:lang w:val="en-US"/>
        </w:rPr>
        <w:t>«</w:t>
      </w:r>
      <w:r w:rsidRPr="00AA656C">
        <w:rPr>
          <w:rFonts w:ascii="Garamond" w:hAnsi="Garamond"/>
          <w:i/>
          <w:color w:val="000000" w:themeColor="text1"/>
          <w:lang w:val="en-US"/>
        </w:rPr>
        <w:t>High priority should therefore be given to threats to public trust and confidence among historically disadvantaged minority populations, ensuring that cultural considerations are taken into account. Vaccine hesitancy may be stronger in such populations and may not be restricted to concerns about safety and effectiveness because mistrust in authorities may be rooted in histories of unethical medical, public health and other policies and practices as well as structural inequity</w:t>
      </w:r>
      <w:r w:rsidRPr="00156101">
        <w:rPr>
          <w:rFonts w:ascii="Garamond" w:hAnsi="Garamond"/>
          <w:i/>
          <w:color w:val="000000" w:themeColor="text1"/>
          <w:lang w:val="en-US"/>
        </w:rPr>
        <w:t xml:space="preserve">». </w:t>
      </w:r>
      <w:r w:rsidRPr="00AA656C">
        <w:rPr>
          <w:rFonts w:ascii="Garamond" w:hAnsi="Garamond"/>
          <w:i/>
          <w:color w:val="000000" w:themeColor="text1"/>
          <w:lang w:val="en-US"/>
        </w:rPr>
        <w:t>WHO,</w:t>
      </w:r>
      <w:r w:rsidRPr="00156101">
        <w:rPr>
          <w:rFonts w:ascii="Garamond" w:hAnsi="Garamond"/>
          <w:i/>
          <w:color w:val="000000" w:themeColor="text1"/>
          <w:lang w:val="en-US"/>
        </w:rPr>
        <w:t xml:space="preserve"> </w:t>
      </w:r>
      <w:r w:rsidRPr="00AA656C">
        <w:rPr>
          <w:rFonts w:ascii="Garamond" w:hAnsi="Garamond"/>
          <w:i/>
          <w:color w:val="000000" w:themeColor="text1"/>
          <w:lang w:val="en-US"/>
        </w:rPr>
        <w:t>COVID-19 and mandatory vaccination: Ethical considerations</w:t>
      </w:r>
      <w:r w:rsidRPr="00B935F1">
        <w:rPr>
          <w:rFonts w:ascii="Garamond" w:hAnsi="Garamond"/>
          <w:color w:val="000000" w:themeColor="text1"/>
          <w:lang w:val="en-US"/>
        </w:rPr>
        <w:t xml:space="preserve">, 30 may 2022, </w:t>
      </w:r>
      <w:hyperlink r:id="rId32" w:history="1">
        <w:r w:rsidRPr="00B935F1">
          <w:rPr>
            <w:rStyle w:val="Collegamentoipertestuale"/>
            <w:rFonts w:ascii="Garamond" w:hAnsi="Garamond"/>
            <w:color w:val="000000" w:themeColor="text1"/>
            <w:u w:val="none"/>
            <w:lang w:val="en-US"/>
          </w:rPr>
          <w:t>https://www.who.int/publications/i/item/WHO-2019-nCoV-Policy-brief-Mandatory-vaccination-2022.1</w:t>
        </w:r>
      </w:hyperlink>
      <w:r w:rsidRPr="00B935F1">
        <w:rPr>
          <w:rFonts w:ascii="Garamond" w:hAnsi="Garamond"/>
          <w:color w:val="000000" w:themeColor="text1"/>
          <w:lang w:val="en-US"/>
        </w:rPr>
        <w:t xml:space="preserve"> </w:t>
      </w:r>
    </w:p>
  </w:footnote>
  <w:footnote w:id="101">
    <w:p w14:paraId="5AB9F058" w14:textId="614040B6"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Da intendersi, secondo illuminante dottrina, in senso ampio, come </w:t>
      </w:r>
      <w:r w:rsidRPr="00B935F1">
        <w:rPr>
          <w:rFonts w:ascii="Garamond" w:hAnsi="Garamond"/>
          <w:i/>
          <w:color w:val="000000" w:themeColor="text1"/>
        </w:rPr>
        <w:t>res</w:t>
      </w:r>
      <w:r w:rsidRPr="00B935F1">
        <w:rPr>
          <w:rFonts w:ascii="Garamond" w:hAnsi="Garamond"/>
          <w:color w:val="000000" w:themeColor="text1"/>
        </w:rPr>
        <w:t xml:space="preserve"> che presenta una particolare attitudine «</w:t>
      </w:r>
      <w:r w:rsidRPr="00B935F1">
        <w:rPr>
          <w:rFonts w:ascii="Garamond" w:hAnsi="Garamond"/>
          <w:i/>
          <w:color w:val="000000" w:themeColor="text1"/>
        </w:rPr>
        <w:t>quella di soddisfare bisogni umani</w:t>
      </w:r>
      <w:r w:rsidRPr="00B935F1">
        <w:rPr>
          <w:rFonts w:ascii="Garamond" w:hAnsi="Garamond"/>
          <w:color w:val="000000" w:themeColor="text1"/>
        </w:rPr>
        <w:t>» e che, proprio in virtù di questa “</w:t>
      </w:r>
      <w:proofErr w:type="spellStart"/>
      <w:r w:rsidRPr="00B935F1">
        <w:rPr>
          <w:rFonts w:ascii="Garamond" w:hAnsi="Garamond"/>
          <w:i/>
          <w:color w:val="000000" w:themeColor="text1"/>
        </w:rPr>
        <w:t>utilitas</w:t>
      </w:r>
      <w:proofErr w:type="spellEnd"/>
      <w:r w:rsidRPr="00B935F1">
        <w:rPr>
          <w:rFonts w:ascii="Garamond" w:hAnsi="Garamond"/>
          <w:color w:val="000000" w:themeColor="text1"/>
        </w:rPr>
        <w:t xml:space="preserve">” sociale, riceve tutela dall’ordinamento giuridico. </w:t>
      </w:r>
      <w:r w:rsidRPr="00B935F1">
        <w:rPr>
          <w:rFonts w:ascii="Garamond" w:hAnsi="Garamond"/>
          <w:smallCaps/>
          <w:color w:val="000000" w:themeColor="text1"/>
        </w:rPr>
        <w:t>S. Pugliatti</w:t>
      </w:r>
      <w:r w:rsidRPr="00B935F1">
        <w:rPr>
          <w:rFonts w:ascii="Garamond" w:hAnsi="Garamond"/>
          <w:color w:val="000000" w:themeColor="text1"/>
        </w:rPr>
        <w:t xml:space="preserve">, </w:t>
      </w:r>
      <w:r w:rsidRPr="00B935F1">
        <w:rPr>
          <w:rFonts w:ascii="Garamond" w:hAnsi="Garamond"/>
          <w:i/>
          <w:color w:val="000000" w:themeColor="text1"/>
        </w:rPr>
        <w:t>I beni: teoria generale</w:t>
      </w:r>
      <w:r w:rsidRPr="00B935F1">
        <w:rPr>
          <w:rFonts w:ascii="Garamond" w:hAnsi="Garamond"/>
          <w:color w:val="000000" w:themeColor="text1"/>
        </w:rPr>
        <w:t xml:space="preserve">, in </w:t>
      </w:r>
      <w:r w:rsidRPr="00B935F1">
        <w:rPr>
          <w:rFonts w:ascii="Garamond" w:hAnsi="Garamond"/>
          <w:i/>
          <w:color w:val="000000" w:themeColor="text1"/>
        </w:rPr>
        <w:t>Enciclopedia del diritto</w:t>
      </w:r>
      <w:r w:rsidRPr="00B935F1">
        <w:rPr>
          <w:rFonts w:ascii="Garamond" w:hAnsi="Garamond"/>
          <w:color w:val="000000" w:themeColor="text1"/>
        </w:rPr>
        <w:t>, Milano, 1959, p. 164 e ss.</w:t>
      </w:r>
    </w:p>
  </w:footnote>
  <w:footnote w:id="102">
    <w:p w14:paraId="2A464426" w14:textId="16F2E3B2"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Sul ruolo della vaccinazione nei contesti di lavoro v. </w:t>
      </w:r>
      <w:r w:rsidRPr="00B935F1">
        <w:rPr>
          <w:rFonts w:ascii="Garamond" w:hAnsi="Garamond"/>
          <w:smallCaps/>
          <w:color w:val="000000" w:themeColor="text1"/>
        </w:rPr>
        <w:t>R. Riverso</w:t>
      </w:r>
      <w:r w:rsidRPr="00B935F1">
        <w:rPr>
          <w:rFonts w:ascii="Garamond" w:hAnsi="Garamond"/>
          <w:color w:val="000000" w:themeColor="text1"/>
        </w:rPr>
        <w:t xml:space="preserve">, </w:t>
      </w:r>
      <w:r w:rsidRPr="00B935F1">
        <w:rPr>
          <w:rFonts w:ascii="Garamond" w:hAnsi="Garamond"/>
          <w:i/>
          <w:iCs/>
          <w:color w:val="000000" w:themeColor="text1"/>
        </w:rPr>
        <w:t xml:space="preserve">Il vaccino anti Covid, scomoda novità per gli equilibri del rapporto di lavoro subordinato. Intervista di Marcello Basilico a Arturo Maresca, Roberto Riverso, Paolo Sordi e Lorenzo Zoppoli, </w:t>
      </w:r>
      <w:r w:rsidRPr="00B935F1">
        <w:rPr>
          <w:rFonts w:ascii="Garamond" w:hAnsi="Garamond"/>
          <w:color w:val="000000" w:themeColor="text1"/>
        </w:rPr>
        <w:t xml:space="preserve">in </w:t>
      </w:r>
      <w:r w:rsidRPr="00B935F1">
        <w:rPr>
          <w:rFonts w:ascii="Garamond" w:hAnsi="Garamond"/>
          <w:i/>
          <w:iCs/>
          <w:color w:val="000000" w:themeColor="text1"/>
        </w:rPr>
        <w:t>Giustizia Insieme</w:t>
      </w:r>
      <w:r w:rsidRPr="00B935F1">
        <w:rPr>
          <w:rFonts w:ascii="Garamond" w:hAnsi="Garamond"/>
          <w:color w:val="000000" w:themeColor="text1"/>
        </w:rPr>
        <w:t>, 22 gennaio 2021. Tale dottrina sostiene l’orientamento consolidato secondo il quale il lavoratore non possa «</w:t>
      </w:r>
      <w:r w:rsidRPr="00156101">
        <w:rPr>
          <w:rFonts w:ascii="Garamond" w:hAnsi="Garamond"/>
          <w:color w:val="000000" w:themeColor="text1"/>
        </w:rPr>
        <w:t>in nome del proprio diritto alla libertà di cura, decidere di mettere a repentaglio l’incolumità altrui</w:t>
      </w:r>
      <w:r w:rsidRPr="00AA656C">
        <w:rPr>
          <w:rFonts w:ascii="Garamond" w:hAnsi="Garamond"/>
          <w:color w:val="000000" w:themeColor="text1"/>
        </w:rPr>
        <w:t xml:space="preserve"> </w:t>
      </w:r>
      <w:r w:rsidRPr="00B935F1">
        <w:rPr>
          <w:rFonts w:ascii="Garamond" w:hAnsi="Garamond"/>
          <w:color w:val="000000" w:themeColor="text1"/>
        </w:rPr>
        <w:t>(…)» e che, inoltre, «</w:t>
      </w:r>
      <w:r w:rsidRPr="00156101">
        <w:rPr>
          <w:rFonts w:ascii="Garamond" w:hAnsi="Garamond"/>
          <w:color w:val="000000" w:themeColor="text1"/>
        </w:rPr>
        <w:t>in ambito lavorativo, l’ordinamento obbliga il lavoratore a prendersi cura della salute altrui ed a considerare l’effetto potenzialmente nocivo della sua omissione: quando il rischio esista, il vaccino sia disponibile e sia efficace</w:t>
      </w:r>
      <w:r w:rsidRPr="00B935F1">
        <w:rPr>
          <w:rFonts w:ascii="Garamond" w:hAnsi="Garamond"/>
          <w:color w:val="000000" w:themeColor="text1"/>
        </w:rPr>
        <w:t>».</w:t>
      </w:r>
    </w:p>
  </w:footnote>
  <w:footnote w:id="103">
    <w:p w14:paraId="64B13A06" w14:textId="156329DB"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w:t>
      </w:r>
      <w:r w:rsidRPr="00B935F1">
        <w:rPr>
          <w:rFonts w:ascii="Garamond" w:hAnsi="Garamond"/>
          <w:i/>
          <w:color w:val="000000" w:themeColor="text1"/>
          <w:lang w:val="en-US"/>
        </w:rPr>
        <w:t>Committee on Economic, Social and Cultural Rights</w:t>
      </w:r>
      <w:r w:rsidRPr="00B935F1">
        <w:rPr>
          <w:rFonts w:ascii="Garamond" w:hAnsi="Garamond"/>
          <w:color w:val="000000" w:themeColor="text1"/>
          <w:lang w:val="en-US"/>
        </w:rPr>
        <w:t xml:space="preserve">, </w:t>
      </w:r>
      <w:r w:rsidRPr="00B935F1">
        <w:rPr>
          <w:rFonts w:ascii="Garamond" w:hAnsi="Garamond"/>
          <w:i/>
          <w:color w:val="000000" w:themeColor="text1"/>
          <w:lang w:val="en-US"/>
        </w:rPr>
        <w:t>Statement on universal and equitable access to vaccines for COVID-19</w:t>
      </w:r>
      <w:r w:rsidRPr="00B935F1">
        <w:rPr>
          <w:rFonts w:ascii="Garamond" w:hAnsi="Garamond"/>
          <w:color w:val="000000" w:themeColor="text1"/>
          <w:lang w:val="en-US"/>
        </w:rPr>
        <w:t xml:space="preserve">, (E/C.12/2020/2) </w:t>
      </w:r>
      <w:r w:rsidRPr="00B935F1">
        <w:rPr>
          <w:rFonts w:ascii="Garamond" w:hAnsi="Garamond"/>
          <w:i/>
          <w:color w:val="000000" w:themeColor="text1"/>
          <w:lang w:val="en-US"/>
        </w:rPr>
        <w:t xml:space="preserve">27 </w:t>
      </w:r>
      <w:proofErr w:type="spellStart"/>
      <w:r w:rsidRPr="00B935F1">
        <w:rPr>
          <w:rFonts w:ascii="Garamond" w:hAnsi="Garamond"/>
          <w:i/>
          <w:color w:val="000000" w:themeColor="text1"/>
          <w:lang w:val="en-US"/>
        </w:rPr>
        <w:t>november</w:t>
      </w:r>
      <w:proofErr w:type="spellEnd"/>
      <w:r w:rsidRPr="00B935F1">
        <w:rPr>
          <w:rFonts w:ascii="Garamond" w:hAnsi="Garamond"/>
          <w:i/>
          <w:color w:val="000000" w:themeColor="text1"/>
          <w:lang w:val="en-US"/>
        </w:rPr>
        <w:t xml:space="preserve"> 2020</w:t>
      </w:r>
      <w:r w:rsidRPr="00B935F1">
        <w:rPr>
          <w:rFonts w:ascii="Garamond" w:hAnsi="Garamond"/>
          <w:color w:val="000000" w:themeColor="text1"/>
          <w:lang w:val="en-US"/>
        </w:rPr>
        <w:t xml:space="preserve">, </w:t>
      </w:r>
      <w:r w:rsidRPr="00B935F1">
        <w:rPr>
          <w:rFonts w:ascii="Garamond" w:hAnsi="Garamond"/>
          <w:i/>
          <w:color w:val="000000" w:themeColor="text1"/>
          <w:lang w:val="en-US"/>
        </w:rPr>
        <w:t>par. 3</w:t>
      </w:r>
      <w:r w:rsidRPr="00B935F1">
        <w:rPr>
          <w:rFonts w:ascii="Garamond" w:hAnsi="Garamond"/>
          <w:color w:val="000000" w:themeColor="text1"/>
          <w:lang w:val="en-US"/>
        </w:rPr>
        <w:t>.</w:t>
      </w:r>
    </w:p>
  </w:footnote>
  <w:footnote w:id="104">
    <w:p w14:paraId="7E0BD84F" w14:textId="77777777"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r w:rsidRPr="00B935F1">
        <w:rPr>
          <w:rFonts w:ascii="Garamond" w:hAnsi="Garamond"/>
          <w:smallCaps/>
          <w:color w:val="000000" w:themeColor="text1"/>
        </w:rPr>
        <w:t>A. R. Vitale</w:t>
      </w:r>
      <w:r w:rsidRPr="00B935F1">
        <w:rPr>
          <w:rFonts w:ascii="Garamond" w:hAnsi="Garamond"/>
          <w:color w:val="000000" w:themeColor="text1"/>
        </w:rPr>
        <w:t xml:space="preserve">, </w:t>
      </w:r>
      <w:r w:rsidRPr="00B935F1">
        <w:rPr>
          <w:rFonts w:ascii="Garamond" w:hAnsi="Garamond"/>
          <w:i/>
          <w:color w:val="000000" w:themeColor="text1"/>
        </w:rPr>
        <w:t xml:space="preserve">Del green pass, delle reazioni avverse ai vaccini e di altre cianfrusaglie pandemiche come problemi </w:t>
      </w:r>
      <w:proofErr w:type="spellStart"/>
      <w:r w:rsidRPr="00B935F1">
        <w:rPr>
          <w:rFonts w:ascii="Garamond" w:hAnsi="Garamond"/>
          <w:i/>
          <w:color w:val="000000" w:themeColor="text1"/>
        </w:rPr>
        <w:t>biogiuridici</w:t>
      </w:r>
      <w:proofErr w:type="spellEnd"/>
      <w:r w:rsidRPr="00B935F1">
        <w:rPr>
          <w:rFonts w:ascii="Garamond" w:hAnsi="Garamond"/>
          <w:i/>
          <w:color w:val="000000" w:themeColor="text1"/>
        </w:rPr>
        <w:t>: elementi per una riflessione</w:t>
      </w:r>
      <w:r w:rsidRPr="00B935F1">
        <w:rPr>
          <w:rFonts w:ascii="Garamond" w:hAnsi="Garamond"/>
          <w:color w:val="000000" w:themeColor="text1"/>
        </w:rPr>
        <w:t xml:space="preserve">, in </w:t>
      </w:r>
      <w:proofErr w:type="spellStart"/>
      <w:r w:rsidRPr="00B935F1">
        <w:rPr>
          <w:rFonts w:ascii="Garamond" w:hAnsi="Garamond"/>
          <w:i/>
          <w:color w:val="000000" w:themeColor="text1"/>
        </w:rPr>
        <w:t>Giustiziainsieme</w:t>
      </w:r>
      <w:proofErr w:type="spellEnd"/>
      <w:r w:rsidRPr="00B935F1">
        <w:rPr>
          <w:rFonts w:ascii="Garamond" w:hAnsi="Garamond"/>
          <w:color w:val="000000" w:themeColor="text1"/>
        </w:rPr>
        <w:t xml:space="preserve">, 15 settembre 2021. </w:t>
      </w:r>
    </w:p>
  </w:footnote>
  <w:footnote w:id="105">
    <w:p w14:paraId="277650A0" w14:textId="0BD31879"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A tal punto da indurre taluni a sostenere «</w:t>
      </w:r>
      <w:r w:rsidRPr="00156101">
        <w:rPr>
          <w:rFonts w:ascii="Garamond" w:hAnsi="Garamond"/>
          <w:color w:val="000000" w:themeColor="text1"/>
        </w:rPr>
        <w:t>L’idea di poter tanto macchinosamente quanto ingenuamente trasformare le incerte risultanze scientifiche in certe discipline giuridiche</w:t>
      </w:r>
      <w:r w:rsidRPr="00B935F1">
        <w:rPr>
          <w:rFonts w:ascii="Garamond" w:hAnsi="Garamond"/>
          <w:color w:val="000000" w:themeColor="text1"/>
        </w:rPr>
        <w:t xml:space="preserve">». </w:t>
      </w:r>
      <w:r w:rsidRPr="00B935F1">
        <w:rPr>
          <w:rFonts w:ascii="Garamond" w:hAnsi="Garamond"/>
          <w:smallCaps/>
          <w:color w:val="000000" w:themeColor="text1"/>
          <w:lang w:val="en-US"/>
        </w:rPr>
        <w:t>A.R. Vitale</w:t>
      </w:r>
      <w:r w:rsidRPr="00B935F1">
        <w:rPr>
          <w:rFonts w:ascii="Garamond" w:hAnsi="Garamond"/>
          <w:color w:val="000000" w:themeColor="text1"/>
          <w:lang w:val="en-US"/>
        </w:rPr>
        <w:t xml:space="preserve">, </w:t>
      </w:r>
      <w:proofErr w:type="spellStart"/>
      <w:r w:rsidRPr="00B935F1">
        <w:rPr>
          <w:rFonts w:ascii="Garamond" w:hAnsi="Garamond"/>
          <w:color w:val="000000" w:themeColor="text1"/>
          <w:lang w:val="en-US"/>
        </w:rPr>
        <w:t>op.cit</w:t>
      </w:r>
      <w:proofErr w:type="spellEnd"/>
      <w:r w:rsidRPr="00B935F1">
        <w:rPr>
          <w:rFonts w:ascii="Garamond" w:hAnsi="Garamond"/>
          <w:color w:val="000000" w:themeColor="text1"/>
          <w:lang w:val="en-US"/>
        </w:rPr>
        <w:t>.</w:t>
      </w:r>
    </w:p>
  </w:footnote>
  <w:footnote w:id="106">
    <w:p w14:paraId="00FFE2C5" w14:textId="18496D09"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lang w:val="en-US"/>
        </w:rPr>
        <w:t xml:space="preserve"> Sul punto v. </w:t>
      </w:r>
      <w:r w:rsidRPr="00B935F1">
        <w:rPr>
          <w:rFonts w:ascii="Garamond" w:hAnsi="Garamond"/>
          <w:smallCaps/>
          <w:color w:val="000000" w:themeColor="text1"/>
          <w:lang w:val="en-US"/>
        </w:rPr>
        <w:t xml:space="preserve">Alexander </w:t>
      </w:r>
      <w:proofErr w:type="spellStart"/>
      <w:r w:rsidRPr="00B935F1">
        <w:rPr>
          <w:rFonts w:ascii="Garamond" w:hAnsi="Garamond"/>
          <w:smallCaps/>
          <w:color w:val="000000" w:themeColor="text1"/>
          <w:lang w:val="en-US"/>
        </w:rPr>
        <w:t>Karaivanov</w:t>
      </w:r>
      <w:proofErr w:type="spellEnd"/>
      <w:r w:rsidRPr="00B935F1">
        <w:rPr>
          <w:rFonts w:ascii="Garamond" w:hAnsi="Garamond"/>
          <w:smallCaps/>
          <w:color w:val="000000" w:themeColor="text1"/>
          <w:lang w:val="en-US"/>
        </w:rPr>
        <w:t xml:space="preserve">, </w:t>
      </w:r>
      <w:proofErr w:type="spellStart"/>
      <w:r w:rsidRPr="00B935F1">
        <w:rPr>
          <w:rFonts w:ascii="Garamond" w:hAnsi="Garamond"/>
          <w:smallCaps/>
          <w:color w:val="000000" w:themeColor="text1"/>
          <w:lang w:val="en-US"/>
        </w:rPr>
        <w:t>Dongwoo</w:t>
      </w:r>
      <w:proofErr w:type="spellEnd"/>
      <w:r w:rsidRPr="00B935F1">
        <w:rPr>
          <w:rFonts w:ascii="Garamond" w:hAnsi="Garamond"/>
          <w:smallCaps/>
          <w:color w:val="000000" w:themeColor="text1"/>
          <w:lang w:val="en-US"/>
        </w:rPr>
        <w:t xml:space="preserve"> Kim et al</w:t>
      </w:r>
      <w:r w:rsidRPr="00B935F1">
        <w:rPr>
          <w:rFonts w:ascii="Garamond" w:hAnsi="Garamond"/>
          <w:color w:val="000000" w:themeColor="text1"/>
          <w:lang w:val="en-US"/>
        </w:rPr>
        <w:t xml:space="preserve">., </w:t>
      </w:r>
      <w:r w:rsidRPr="00B935F1">
        <w:rPr>
          <w:rFonts w:ascii="Garamond" w:hAnsi="Garamond"/>
          <w:i/>
          <w:color w:val="000000" w:themeColor="text1"/>
          <w:lang w:val="en-US"/>
        </w:rPr>
        <w:t>COVID-19 Vaccination Mandates and Vaccine Uptake</w:t>
      </w:r>
      <w:r w:rsidRPr="00B935F1">
        <w:rPr>
          <w:rFonts w:ascii="Garamond" w:hAnsi="Garamond"/>
          <w:color w:val="000000" w:themeColor="text1"/>
          <w:lang w:val="en-US"/>
        </w:rPr>
        <w:t xml:space="preserve">, </w:t>
      </w:r>
      <w:proofErr w:type="gramStart"/>
      <w:r w:rsidRPr="00B935F1">
        <w:rPr>
          <w:rFonts w:ascii="Garamond" w:hAnsi="Garamond"/>
          <w:color w:val="000000" w:themeColor="text1"/>
          <w:lang w:val="en-US"/>
        </w:rPr>
        <w:t xml:space="preserve">in  </w:t>
      </w:r>
      <w:r w:rsidRPr="00B935F1">
        <w:rPr>
          <w:rFonts w:ascii="Garamond" w:hAnsi="Garamond"/>
          <w:i/>
          <w:color w:val="000000" w:themeColor="text1"/>
          <w:lang w:val="en-US"/>
        </w:rPr>
        <w:t>www.medrxiv.org</w:t>
      </w:r>
      <w:proofErr w:type="gramEnd"/>
      <w:r w:rsidRPr="00B935F1">
        <w:rPr>
          <w:rFonts w:ascii="Garamond" w:hAnsi="Garamond"/>
          <w:color w:val="000000" w:themeColor="text1"/>
          <w:lang w:val="en-US"/>
        </w:rPr>
        <w:t>., 2021.</w:t>
      </w:r>
    </w:p>
  </w:footnote>
  <w:footnote w:id="107">
    <w:p w14:paraId="73AB4E78" w14:textId="5BB8800E"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w:t>
      </w:r>
      <w:bookmarkStart w:id="7" w:name="map"/>
      <w:r w:rsidRPr="00B935F1">
        <w:rPr>
          <w:rFonts w:ascii="Garamond" w:hAnsi="Garamond"/>
          <w:color w:val="000000" w:themeColor="text1"/>
        </w:rPr>
        <w:t xml:space="preserve">Come dimostra anche il discreto successo riscontrato dal </w:t>
      </w:r>
      <w:r w:rsidRPr="00B935F1">
        <w:rPr>
          <w:rFonts w:ascii="Garamond" w:hAnsi="Garamond"/>
          <w:i/>
          <w:color w:val="000000" w:themeColor="text1"/>
        </w:rPr>
        <w:t>pass</w:t>
      </w:r>
      <w:r w:rsidRPr="00B935F1">
        <w:rPr>
          <w:rFonts w:ascii="Garamond" w:hAnsi="Garamond"/>
          <w:color w:val="000000" w:themeColor="text1"/>
        </w:rPr>
        <w:t xml:space="preserve"> europeo al di fuori del medesimo continente, in quanto «</w:t>
      </w:r>
      <w:r w:rsidRPr="00156101">
        <w:rPr>
          <w:rFonts w:ascii="Garamond" w:hAnsi="Garamond"/>
          <w:color w:val="000000" w:themeColor="text1"/>
        </w:rPr>
        <w:t>finora 45 paesi (e territori) non appartenenti all'UE hanno aderito al sistema del certificato COVID digitale dell'UE sulla base di </w:t>
      </w:r>
      <w:bookmarkEnd w:id="7"/>
      <w:r w:rsidRPr="00156101">
        <w:rPr>
          <w:rFonts w:ascii="Garamond" w:hAnsi="Garamond"/>
          <w:color w:val="000000" w:themeColor="text1"/>
        </w:rPr>
        <w:fldChar w:fldCharType="begin"/>
      </w:r>
      <w:r w:rsidRPr="00156101">
        <w:rPr>
          <w:rFonts w:ascii="Garamond" w:hAnsi="Garamond"/>
          <w:color w:val="000000" w:themeColor="text1"/>
        </w:rPr>
        <w:instrText xml:space="preserve"> HYPERLINK "https://ec.europa.eu/info/publications/commission-implementing-decisions-eu-equivalence-covid-19-certificates-issued-non-eu-countries_it" </w:instrText>
      </w:r>
      <w:r w:rsidRPr="00156101">
        <w:rPr>
          <w:rFonts w:ascii="Garamond" w:hAnsi="Garamond"/>
          <w:color w:val="000000" w:themeColor="text1"/>
        </w:rPr>
        <w:fldChar w:fldCharType="separate"/>
      </w:r>
      <w:r w:rsidRPr="00156101">
        <w:rPr>
          <w:rStyle w:val="Collegamentoipertestuale"/>
          <w:rFonts w:ascii="Garamond" w:hAnsi="Garamond"/>
          <w:color w:val="000000" w:themeColor="text1"/>
          <w:u w:val="none"/>
        </w:rPr>
        <w:t>decisioni di equivalenza dell'UE</w:t>
      </w:r>
      <w:r w:rsidRPr="00156101">
        <w:rPr>
          <w:rFonts w:ascii="Garamond" w:hAnsi="Garamond"/>
          <w:color w:val="000000" w:themeColor="text1"/>
        </w:rPr>
        <w:fldChar w:fldCharType="end"/>
      </w:r>
      <w:r w:rsidRPr="00AA656C">
        <w:rPr>
          <w:rFonts w:ascii="Garamond" w:hAnsi="Garamond"/>
          <w:color w:val="000000" w:themeColor="text1"/>
        </w:rPr>
        <w:t xml:space="preserve">». </w:t>
      </w:r>
      <w:r w:rsidRPr="00156101">
        <w:rPr>
          <w:rFonts w:ascii="Garamond" w:hAnsi="Garamond"/>
          <w:color w:val="000000" w:themeColor="text1"/>
        </w:rPr>
        <w:t>Certificato COVID digitale dell'UE: Nuove norme sulla validità del certificato COVID digitale dell'UE e sul coordinamento in materia di sicurezza dei viaggi nell'UE, Riconoscimento da parte dell'UE dei certificati COVID rilasciati da paesi terzi (extra UE)</w:t>
      </w:r>
      <w:r w:rsidRPr="00B935F1">
        <w:rPr>
          <w:rFonts w:ascii="Garamond" w:hAnsi="Garamond"/>
          <w:color w:val="000000" w:themeColor="text1"/>
        </w:rPr>
        <w:t xml:space="preserve">, </w:t>
      </w:r>
      <w:hyperlink r:id="rId33" w:anchor="recognition-of-covid-certificates-from-third-non-eu-countries" w:history="1">
        <w:r w:rsidRPr="00B935F1">
          <w:rPr>
            <w:rStyle w:val="Collegamentoipertestuale"/>
            <w:rFonts w:ascii="Garamond" w:hAnsi="Garamond"/>
            <w:color w:val="000000" w:themeColor="text1"/>
            <w:u w:val="none"/>
          </w:rPr>
          <w:t>https://ec.europa.eu/info/live-work-travel-eu/coronavirus-response/safe-covid-19-vaccines-europeans/eu-digital-covid-certificate_it#recognition-of-covid-certificates-from-third-non-eu-countries</w:t>
        </w:r>
      </w:hyperlink>
      <w:r w:rsidRPr="00B935F1">
        <w:rPr>
          <w:rFonts w:ascii="Garamond" w:hAnsi="Garamond"/>
          <w:color w:val="000000" w:themeColor="text1"/>
        </w:rPr>
        <w:t xml:space="preserve">.  </w:t>
      </w:r>
    </w:p>
  </w:footnote>
  <w:footnote w:id="108">
    <w:p w14:paraId="0DEE4690" w14:textId="6F251B80"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156101">
        <w:rPr>
          <w:rFonts w:ascii="Garamond" w:hAnsi="Garamond"/>
          <w:color w:val="000000" w:themeColor="text1"/>
          <w:lang w:val="en-US"/>
        </w:rPr>
        <w:t xml:space="preserve"> </w:t>
      </w:r>
      <w:bookmarkStart w:id="8" w:name="_Hlk116421019"/>
      <w:r w:rsidRPr="00B935F1">
        <w:rPr>
          <w:rFonts w:ascii="Garamond" w:hAnsi="Garamond"/>
          <w:i/>
          <w:color w:val="000000" w:themeColor="text1"/>
          <w:lang w:val="en-US"/>
        </w:rPr>
        <w:t>WHO, Director-General declares the ongoing monkeypox outbreak a Public Health Emergency of International Concern</w:t>
      </w:r>
      <w:r w:rsidRPr="00B935F1">
        <w:rPr>
          <w:rFonts w:ascii="Garamond" w:hAnsi="Garamond"/>
          <w:color w:val="000000" w:themeColor="text1"/>
          <w:lang w:val="en-US"/>
        </w:rPr>
        <w:t xml:space="preserve">, </w:t>
      </w:r>
      <w:proofErr w:type="gramStart"/>
      <w:r w:rsidRPr="00B935F1">
        <w:rPr>
          <w:rFonts w:ascii="Garamond" w:hAnsi="Garamond"/>
          <w:color w:val="000000" w:themeColor="text1"/>
          <w:lang w:val="en-US"/>
        </w:rPr>
        <w:t>cit.</w:t>
      </w:r>
      <w:proofErr w:type="gramEnd"/>
    </w:p>
    <w:bookmarkEnd w:id="8"/>
    <w:p w14:paraId="0915AFCC" w14:textId="01B1026F" w:rsidR="006B1761" w:rsidRPr="00B935F1" w:rsidRDefault="006B1761" w:rsidP="00B67169">
      <w:pPr>
        <w:pStyle w:val="Testonotaapidipagina"/>
        <w:jc w:val="both"/>
        <w:rPr>
          <w:rFonts w:ascii="Garamond" w:hAnsi="Garamond"/>
          <w:color w:val="000000" w:themeColor="text1"/>
          <w:lang w:val="en-US"/>
        </w:rPr>
      </w:pPr>
      <w:r w:rsidRPr="00B935F1">
        <w:rPr>
          <w:rFonts w:ascii="Garamond" w:hAnsi="Garamond"/>
          <w:color w:val="000000" w:themeColor="text1"/>
        </w:rPr>
        <w:t>È poi interessante notare, che in coerenza con quanto sostenuto nella lotta al Covid-19, l’OMS ha mostrato avviso contrario a qualsiasi «</w:t>
      </w:r>
      <w:proofErr w:type="spellStart"/>
      <w:r w:rsidRPr="00156101">
        <w:rPr>
          <w:rFonts w:ascii="Garamond" w:hAnsi="Garamond"/>
          <w:color w:val="000000" w:themeColor="text1"/>
        </w:rPr>
        <w:t>additional</w:t>
      </w:r>
      <w:proofErr w:type="spellEnd"/>
      <w:r w:rsidRPr="00156101">
        <w:rPr>
          <w:rFonts w:ascii="Garamond" w:hAnsi="Garamond"/>
          <w:color w:val="000000" w:themeColor="text1"/>
        </w:rPr>
        <w:t xml:space="preserve"> general or </w:t>
      </w:r>
      <w:proofErr w:type="spellStart"/>
      <w:r w:rsidRPr="00156101">
        <w:rPr>
          <w:rFonts w:ascii="Garamond" w:hAnsi="Garamond"/>
          <w:color w:val="000000" w:themeColor="text1"/>
        </w:rPr>
        <w:t>targeted</w:t>
      </w:r>
      <w:proofErr w:type="spellEnd"/>
      <w:r w:rsidRPr="00156101">
        <w:rPr>
          <w:rFonts w:ascii="Garamond" w:hAnsi="Garamond"/>
          <w:color w:val="000000" w:themeColor="text1"/>
        </w:rPr>
        <w:t xml:space="preserve"> international travel-</w:t>
      </w:r>
      <w:proofErr w:type="spellStart"/>
      <w:r w:rsidRPr="00156101">
        <w:rPr>
          <w:rFonts w:ascii="Garamond" w:hAnsi="Garamond"/>
          <w:color w:val="000000" w:themeColor="text1"/>
        </w:rPr>
        <w:t>related</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measures</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other</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than</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those</w:t>
      </w:r>
      <w:proofErr w:type="spellEnd"/>
      <w:r w:rsidRPr="00156101">
        <w:rPr>
          <w:rFonts w:ascii="Garamond" w:hAnsi="Garamond"/>
          <w:color w:val="000000" w:themeColor="text1"/>
        </w:rPr>
        <w:t xml:space="preserve"> </w:t>
      </w:r>
      <w:proofErr w:type="spellStart"/>
      <w:r w:rsidRPr="00156101">
        <w:rPr>
          <w:rFonts w:ascii="Garamond" w:hAnsi="Garamond"/>
          <w:color w:val="000000" w:themeColor="text1"/>
        </w:rPr>
        <w:t>specified</w:t>
      </w:r>
      <w:proofErr w:type="spellEnd"/>
      <w:r w:rsidRPr="00156101">
        <w:rPr>
          <w:rFonts w:ascii="Garamond" w:hAnsi="Garamond"/>
          <w:color w:val="000000" w:themeColor="text1"/>
        </w:rPr>
        <w:t xml:space="preserve"> in </w:t>
      </w:r>
      <w:proofErr w:type="spellStart"/>
      <w:r w:rsidRPr="00156101">
        <w:rPr>
          <w:rFonts w:ascii="Garamond" w:hAnsi="Garamond"/>
          <w:color w:val="000000" w:themeColor="text1"/>
        </w:rPr>
        <w:t>paragraphs</w:t>
      </w:r>
      <w:proofErr w:type="spellEnd"/>
      <w:r w:rsidRPr="00B935F1">
        <w:rPr>
          <w:rFonts w:ascii="Garamond" w:hAnsi="Garamond"/>
          <w:color w:val="000000" w:themeColor="text1"/>
        </w:rPr>
        <w:t xml:space="preserve">», con l’eccezione, cioè di chi risulti manifestare alcuni sintomi della malattia. </w:t>
      </w:r>
      <w:r w:rsidRPr="00B935F1">
        <w:rPr>
          <w:rFonts w:ascii="Garamond" w:hAnsi="Garamond"/>
          <w:i/>
          <w:color w:val="000000" w:themeColor="text1"/>
          <w:lang w:val="en-US"/>
        </w:rPr>
        <w:t>Second meeting of the International Health Regulations (2005) (IHR) Emergency Committee regarding the multi-country outbreak of monkeypox</w:t>
      </w:r>
      <w:r w:rsidRPr="00B935F1">
        <w:rPr>
          <w:rFonts w:ascii="Garamond" w:hAnsi="Garamond"/>
          <w:color w:val="000000" w:themeColor="text1"/>
          <w:lang w:val="en-US"/>
        </w:rPr>
        <w:t xml:space="preserve">, 23 July 2022. </w:t>
      </w:r>
    </w:p>
  </w:footnote>
  <w:footnote w:id="109">
    <w:p w14:paraId="2005E267" w14:textId="12E0C4ED" w:rsidR="006B1761" w:rsidRPr="00B935F1" w:rsidRDefault="006B1761" w:rsidP="00B67169">
      <w:pPr>
        <w:pStyle w:val="Testonotaapidipagina"/>
        <w:jc w:val="both"/>
        <w:rPr>
          <w:rFonts w:ascii="Garamond" w:hAnsi="Garamond"/>
          <w:color w:val="000000" w:themeColor="text1"/>
          <w:lang w:val="en-US"/>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Proposta di Regolamento del Parlamento europeo e del Consiglio che modifica il regolamento (UE), cit.          Ciò è anche esplicitato dall’indagine svolta ad agosto 2021 dal </w:t>
      </w:r>
      <w:r w:rsidRPr="00B935F1">
        <w:rPr>
          <w:rFonts w:ascii="Garamond" w:hAnsi="Garamond"/>
          <w:i/>
          <w:color w:val="000000" w:themeColor="text1"/>
        </w:rPr>
        <w:t xml:space="preserve">Public Opinion Monitoring Unit – DG </w:t>
      </w:r>
      <w:proofErr w:type="spellStart"/>
      <w:r w:rsidRPr="00B935F1">
        <w:rPr>
          <w:rFonts w:ascii="Garamond" w:hAnsi="Garamond"/>
          <w:i/>
          <w:color w:val="000000" w:themeColor="text1"/>
        </w:rPr>
        <w:t>Communication</w:t>
      </w:r>
      <w:proofErr w:type="spellEnd"/>
      <w:r w:rsidRPr="00B935F1">
        <w:rPr>
          <w:rFonts w:ascii="Garamond" w:hAnsi="Garamond"/>
          <w:color w:val="000000" w:themeColor="text1"/>
        </w:rPr>
        <w:t xml:space="preserve"> </w:t>
      </w:r>
      <w:r w:rsidRPr="00B935F1">
        <w:rPr>
          <w:rFonts w:ascii="Garamond" w:hAnsi="Garamond"/>
          <w:i/>
          <w:color w:val="000000" w:themeColor="text1"/>
        </w:rPr>
        <w:t xml:space="preserve">Flash </w:t>
      </w:r>
      <w:proofErr w:type="spellStart"/>
      <w:r w:rsidRPr="00B935F1">
        <w:rPr>
          <w:rFonts w:ascii="Garamond" w:hAnsi="Garamond"/>
          <w:i/>
          <w:color w:val="000000" w:themeColor="text1"/>
        </w:rPr>
        <w:t>Eurobarometer</w:t>
      </w:r>
      <w:proofErr w:type="spellEnd"/>
      <w:r w:rsidRPr="00B935F1">
        <w:rPr>
          <w:rFonts w:ascii="Garamond" w:hAnsi="Garamond"/>
          <w:i/>
          <w:color w:val="000000" w:themeColor="text1"/>
        </w:rPr>
        <w:t xml:space="preserve"> State of the </w:t>
      </w:r>
      <w:proofErr w:type="spellStart"/>
      <w:r w:rsidRPr="00B935F1">
        <w:rPr>
          <w:rFonts w:ascii="Garamond" w:hAnsi="Garamond"/>
          <w:i/>
          <w:color w:val="000000" w:themeColor="text1"/>
        </w:rPr>
        <w:t>European</w:t>
      </w:r>
      <w:proofErr w:type="spellEnd"/>
      <w:r w:rsidRPr="00B935F1">
        <w:rPr>
          <w:rFonts w:ascii="Garamond" w:hAnsi="Garamond"/>
          <w:i/>
          <w:color w:val="000000" w:themeColor="text1"/>
        </w:rPr>
        <w:t xml:space="preserve"> Union</w:t>
      </w:r>
      <w:r w:rsidRPr="00B935F1">
        <w:rPr>
          <w:rFonts w:ascii="Garamond" w:hAnsi="Garamond"/>
          <w:color w:val="000000" w:themeColor="text1"/>
        </w:rPr>
        <w:t xml:space="preserve">, che, tra i tanti profili analizzati, ha anche esaminato la risposta dell’UE all’emergenza sanitaria, rendendo appunto noto che, nell’ambito di un sondaggio, i due terzi (65%) dei partecipanti hanno convenuto sul fatto che </w:t>
      </w:r>
      <w:proofErr w:type="gramStart"/>
      <w:r w:rsidRPr="00B935F1">
        <w:rPr>
          <w:rFonts w:ascii="Garamond" w:hAnsi="Garamond"/>
          <w:color w:val="000000" w:themeColor="text1"/>
        </w:rPr>
        <w:t>l’ «</w:t>
      </w:r>
      <w:proofErr w:type="gramEnd"/>
      <w:r w:rsidRPr="00B935F1">
        <w:rPr>
          <w:rFonts w:ascii="Garamond" w:hAnsi="Garamond"/>
          <w:i/>
          <w:color w:val="000000" w:themeColor="text1"/>
        </w:rPr>
        <w:t xml:space="preserve">EU Digital COVID certificate </w:t>
      </w:r>
      <w:proofErr w:type="spellStart"/>
      <w:r w:rsidRPr="00B935F1">
        <w:rPr>
          <w:rFonts w:ascii="Garamond" w:hAnsi="Garamond"/>
          <w:i/>
          <w:color w:val="000000" w:themeColor="text1"/>
        </w:rPr>
        <w:t>is</w:t>
      </w:r>
      <w:proofErr w:type="spellEnd"/>
      <w:r w:rsidRPr="00B935F1">
        <w:rPr>
          <w:rFonts w:ascii="Garamond" w:hAnsi="Garamond"/>
          <w:i/>
          <w:color w:val="000000" w:themeColor="text1"/>
        </w:rPr>
        <w:t xml:space="preserve"> the </w:t>
      </w:r>
      <w:proofErr w:type="spellStart"/>
      <w:r w:rsidRPr="00B935F1">
        <w:rPr>
          <w:rFonts w:ascii="Garamond" w:hAnsi="Garamond"/>
          <w:i/>
          <w:color w:val="000000" w:themeColor="text1"/>
        </w:rPr>
        <w:t>safest</w:t>
      </w:r>
      <w:proofErr w:type="spellEnd"/>
      <w:r w:rsidRPr="00B935F1">
        <w:rPr>
          <w:rFonts w:ascii="Garamond" w:hAnsi="Garamond"/>
          <w:i/>
          <w:color w:val="000000" w:themeColor="text1"/>
        </w:rPr>
        <w:t xml:space="preserve"> </w:t>
      </w:r>
      <w:proofErr w:type="spellStart"/>
      <w:r w:rsidRPr="00B935F1">
        <w:rPr>
          <w:rFonts w:ascii="Garamond" w:hAnsi="Garamond"/>
          <w:i/>
          <w:color w:val="000000" w:themeColor="text1"/>
        </w:rPr>
        <w:t>mean</w:t>
      </w:r>
      <w:proofErr w:type="spellEnd"/>
      <w:r w:rsidRPr="00B935F1">
        <w:rPr>
          <w:rFonts w:ascii="Garamond" w:hAnsi="Garamond"/>
          <w:i/>
          <w:color w:val="000000" w:themeColor="text1"/>
        </w:rPr>
        <w:t xml:space="preserve"> for free travel in Europe </w:t>
      </w:r>
      <w:proofErr w:type="spellStart"/>
      <w:r w:rsidRPr="00B935F1">
        <w:rPr>
          <w:rFonts w:ascii="Garamond" w:hAnsi="Garamond"/>
          <w:i/>
          <w:color w:val="000000" w:themeColor="text1"/>
        </w:rPr>
        <w:t>during</w:t>
      </w:r>
      <w:proofErr w:type="spellEnd"/>
      <w:r w:rsidRPr="00B935F1">
        <w:rPr>
          <w:rFonts w:ascii="Garamond" w:hAnsi="Garamond"/>
          <w:i/>
          <w:color w:val="000000" w:themeColor="text1"/>
        </w:rPr>
        <w:t xml:space="preserve"> the pandemic</w:t>
      </w:r>
      <w:r w:rsidRPr="00B935F1">
        <w:rPr>
          <w:rFonts w:ascii="Garamond" w:hAnsi="Garamond"/>
          <w:color w:val="000000" w:themeColor="text1"/>
        </w:rPr>
        <w:t xml:space="preserve">». </w:t>
      </w:r>
      <w:r w:rsidRPr="00B935F1">
        <w:rPr>
          <w:rFonts w:ascii="Garamond" w:hAnsi="Garamond"/>
          <w:i/>
          <w:color w:val="000000" w:themeColor="text1"/>
          <w:lang w:val="en-US"/>
        </w:rPr>
        <w:t>European Parliament Public Opinion Monitoring Unit DG communication</w:t>
      </w:r>
      <w:r w:rsidRPr="00B935F1">
        <w:rPr>
          <w:rFonts w:ascii="Garamond" w:hAnsi="Garamond"/>
          <w:color w:val="000000" w:themeColor="text1"/>
          <w:lang w:val="en-US"/>
        </w:rPr>
        <w:t xml:space="preserve">, </w:t>
      </w:r>
      <w:r w:rsidRPr="00B935F1">
        <w:rPr>
          <w:rFonts w:ascii="Garamond" w:hAnsi="Garamond"/>
          <w:i/>
          <w:color w:val="000000" w:themeColor="text1"/>
          <w:lang w:val="en-US"/>
        </w:rPr>
        <w:t>Flash Eurobarometer State of the European Union</w:t>
      </w:r>
      <w:r w:rsidRPr="00B935F1">
        <w:rPr>
          <w:rFonts w:ascii="Garamond" w:hAnsi="Garamond"/>
          <w:color w:val="000000" w:themeColor="text1"/>
          <w:lang w:val="en-US"/>
        </w:rPr>
        <w:t xml:space="preserve">, 2021, </w:t>
      </w:r>
      <w:hyperlink r:id="rId34" w:history="1">
        <w:r w:rsidRPr="00B935F1">
          <w:rPr>
            <w:rStyle w:val="Collegamentoipertestuale"/>
            <w:rFonts w:ascii="Garamond" w:hAnsi="Garamond"/>
            <w:color w:val="000000" w:themeColor="text1"/>
            <w:u w:val="none"/>
            <w:lang w:val="en-US"/>
          </w:rPr>
          <w:t>https://www.europarl.europa.eu/at-your-service/files/be-heard/eurobarometer/2021/soteu-flash-survey/soteu-2021-report-en.pdf</w:t>
        </w:r>
      </w:hyperlink>
      <w:r w:rsidRPr="00B935F1">
        <w:rPr>
          <w:rFonts w:ascii="Garamond" w:hAnsi="Garamond"/>
          <w:color w:val="000000" w:themeColor="text1"/>
          <w:lang w:val="en-US"/>
        </w:rPr>
        <w:t xml:space="preserve">.   </w:t>
      </w:r>
    </w:p>
  </w:footnote>
  <w:footnote w:id="110">
    <w:p w14:paraId="1CCB533A" w14:textId="2B7E702A" w:rsidR="006B1761" w:rsidRPr="00B935F1" w:rsidRDefault="006B1761" w:rsidP="00B67169">
      <w:pPr>
        <w:pStyle w:val="Testonotaapidipagina"/>
        <w:jc w:val="both"/>
        <w:rPr>
          <w:rFonts w:ascii="Garamond" w:hAnsi="Garamond"/>
          <w:color w:val="000000" w:themeColor="text1"/>
        </w:rPr>
      </w:pPr>
      <w:r w:rsidRPr="00B935F1">
        <w:rPr>
          <w:rStyle w:val="Rimandonotaapidipagina"/>
          <w:rFonts w:ascii="Garamond" w:hAnsi="Garamond"/>
          <w:color w:val="000000" w:themeColor="text1"/>
        </w:rPr>
        <w:footnoteRef/>
      </w:r>
      <w:r w:rsidRPr="00B935F1">
        <w:rPr>
          <w:rFonts w:ascii="Garamond" w:hAnsi="Garamond"/>
          <w:color w:val="000000" w:themeColor="text1"/>
        </w:rPr>
        <w:t xml:space="preserve"> Paragrafo 7 della Proposta, cit.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Garamond" w:hAnsi="Garamond"/>
        <w:sz w:val="24"/>
        <w:szCs w:val="24"/>
      </w:rPr>
      <w:id w:val="-584843683"/>
      <w:docPartObj>
        <w:docPartGallery w:val="Page Numbers (Top of Page)"/>
        <w:docPartUnique/>
      </w:docPartObj>
    </w:sdtPr>
    <w:sdtContent>
      <w:p w14:paraId="2A521900" w14:textId="56E5D145" w:rsidR="006B1761" w:rsidRPr="000D593D" w:rsidRDefault="000D593D" w:rsidP="000D593D">
        <w:pPr>
          <w:pStyle w:val="Intestazione"/>
          <w:framePr w:wrap="none" w:vAnchor="text" w:hAnchor="margin" w:xAlign="right" w:y="1"/>
          <w:rPr>
            <w:rStyle w:val="Numeropagina"/>
            <w:rFonts w:ascii="Garamond" w:hAnsi="Garamond"/>
            <w:sz w:val="24"/>
            <w:szCs w:val="24"/>
          </w:rPr>
        </w:pPr>
        <w:r w:rsidRPr="000D593D">
          <w:rPr>
            <w:rStyle w:val="Numeropagina"/>
            <w:rFonts w:ascii="Garamond" w:hAnsi="Garamond"/>
            <w:sz w:val="24"/>
            <w:szCs w:val="24"/>
          </w:rPr>
          <w:fldChar w:fldCharType="begin"/>
        </w:r>
        <w:r w:rsidRPr="000D593D">
          <w:rPr>
            <w:rStyle w:val="Numeropagina"/>
            <w:rFonts w:ascii="Garamond" w:hAnsi="Garamond"/>
            <w:sz w:val="24"/>
            <w:szCs w:val="24"/>
          </w:rPr>
          <w:instrText xml:space="preserve"> PAGE </w:instrText>
        </w:r>
        <w:r w:rsidRPr="000D593D">
          <w:rPr>
            <w:rStyle w:val="Numeropagina"/>
            <w:rFonts w:ascii="Garamond" w:hAnsi="Garamond"/>
            <w:sz w:val="24"/>
            <w:szCs w:val="24"/>
          </w:rPr>
          <w:fldChar w:fldCharType="separate"/>
        </w:r>
        <w:r w:rsidRPr="000D593D">
          <w:rPr>
            <w:rStyle w:val="Numeropagina"/>
            <w:rFonts w:ascii="Garamond" w:hAnsi="Garamond"/>
            <w:noProof/>
            <w:sz w:val="24"/>
            <w:szCs w:val="24"/>
          </w:rPr>
          <w:t>466</w:t>
        </w:r>
        <w:r w:rsidRPr="000D593D">
          <w:rPr>
            <w:rStyle w:val="Numeropagina"/>
            <w:rFonts w:ascii="Garamond" w:hAnsi="Garamond"/>
            <w:sz w:val="24"/>
            <w:szCs w:val="24"/>
          </w:rPr>
          <w:fldChar w:fldCharType="end"/>
        </w:r>
      </w:p>
    </w:sdtContent>
  </w:sdt>
  <w:p w14:paraId="2A95D3F1" w14:textId="5A49BBE3" w:rsidR="006B1761" w:rsidRPr="006E429F" w:rsidRDefault="006B1761" w:rsidP="00592C5A">
    <w:pPr>
      <w:pStyle w:val="Intestazione"/>
      <w:ind w:right="360"/>
      <w:jc w:val="center"/>
      <w:rPr>
        <w:rFonts w:ascii="Garamond" w:hAnsi="Garamond" w:cs="Times New Roman (Corpo CS)"/>
        <w:smallCaps/>
        <w:sz w:val="20"/>
        <w:szCs w:val="20"/>
      </w:rPr>
    </w:pPr>
    <w:r w:rsidRPr="006E429F">
      <w:rPr>
        <w:rFonts w:ascii="Garamond" w:hAnsi="Garamond" w:cs="Times New Roman (Corpo CS)"/>
        <w:smallCaps/>
        <w:sz w:val="20"/>
        <w:szCs w:val="20"/>
      </w:rPr>
      <w:t>Armando Saitta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Fonts w:ascii="Garamond" w:hAnsi="Garamond"/>
        <w:sz w:val="24"/>
        <w:szCs w:val="24"/>
      </w:rPr>
      <w:id w:val="-63190419"/>
      <w:docPartObj>
        <w:docPartGallery w:val="Page Numbers (Top of Page)"/>
        <w:docPartUnique/>
      </w:docPartObj>
    </w:sdtPr>
    <w:sdtContent>
      <w:p w14:paraId="378C4FEF" w14:textId="0E0BC76E" w:rsidR="006B1761" w:rsidRPr="000D593D" w:rsidRDefault="000D593D" w:rsidP="000D593D">
        <w:pPr>
          <w:pStyle w:val="Intestazione"/>
          <w:framePr w:wrap="none" w:vAnchor="text" w:hAnchor="margin" w:xAlign="right" w:y="1"/>
          <w:rPr>
            <w:rStyle w:val="Numeropagina"/>
            <w:rFonts w:ascii="Garamond" w:hAnsi="Garamond"/>
            <w:sz w:val="24"/>
            <w:szCs w:val="24"/>
          </w:rPr>
        </w:pPr>
        <w:r w:rsidRPr="000D593D">
          <w:rPr>
            <w:rStyle w:val="Numeropagina"/>
            <w:rFonts w:ascii="Garamond" w:hAnsi="Garamond"/>
            <w:sz w:val="24"/>
            <w:szCs w:val="24"/>
          </w:rPr>
          <w:fldChar w:fldCharType="begin"/>
        </w:r>
        <w:r w:rsidRPr="000D593D">
          <w:rPr>
            <w:rStyle w:val="Numeropagina"/>
            <w:rFonts w:ascii="Garamond" w:hAnsi="Garamond"/>
            <w:sz w:val="24"/>
            <w:szCs w:val="24"/>
          </w:rPr>
          <w:instrText xml:space="preserve"> PAGE </w:instrText>
        </w:r>
        <w:r w:rsidRPr="000D593D">
          <w:rPr>
            <w:rStyle w:val="Numeropagina"/>
            <w:rFonts w:ascii="Garamond" w:hAnsi="Garamond"/>
            <w:sz w:val="24"/>
            <w:szCs w:val="24"/>
          </w:rPr>
          <w:fldChar w:fldCharType="separate"/>
        </w:r>
        <w:r w:rsidRPr="000D593D">
          <w:rPr>
            <w:rStyle w:val="Numeropagina"/>
            <w:rFonts w:ascii="Garamond" w:hAnsi="Garamond"/>
            <w:noProof/>
            <w:sz w:val="24"/>
            <w:szCs w:val="24"/>
          </w:rPr>
          <w:t>467</w:t>
        </w:r>
        <w:r w:rsidRPr="000D593D">
          <w:rPr>
            <w:rStyle w:val="Numeropagina"/>
            <w:rFonts w:ascii="Garamond" w:hAnsi="Garamond"/>
            <w:sz w:val="24"/>
            <w:szCs w:val="24"/>
          </w:rPr>
          <w:fldChar w:fldCharType="end"/>
        </w:r>
      </w:p>
    </w:sdtContent>
  </w:sdt>
  <w:p w14:paraId="1CE36502" w14:textId="15370696" w:rsidR="006B1761" w:rsidRPr="00592C5A" w:rsidRDefault="006B1761" w:rsidP="00314315">
    <w:pPr>
      <w:pStyle w:val="Intestazione"/>
      <w:ind w:right="360"/>
      <w:jc w:val="center"/>
      <w:rPr>
        <w:rFonts w:ascii="Garamond" w:hAnsi="Garamond" w:cs="Times New Roman (Corpo CS)"/>
        <w:i/>
        <w:iCs/>
        <w:sz w:val="20"/>
        <w:szCs w:val="20"/>
      </w:rPr>
    </w:pPr>
    <w:r>
      <w:rPr>
        <w:rFonts w:ascii="Garamond" w:hAnsi="Garamond" w:cs="Times New Roman (Corpo CS)"/>
        <w:i/>
        <w:iCs/>
        <w:sz w:val="20"/>
        <w:szCs w:val="20"/>
      </w:rPr>
      <w:t xml:space="preserve">La legittimità costituzionale ed europea </w:t>
    </w:r>
    <w:proofErr w:type="gramStart"/>
    <w:r>
      <w:rPr>
        <w:rFonts w:ascii="Garamond" w:hAnsi="Garamond" w:cs="Times New Roman (Corpo CS)"/>
        <w:i/>
        <w:iCs/>
        <w:sz w:val="20"/>
        <w:szCs w:val="20"/>
      </w:rPr>
      <w:t xml:space="preserve">del </w:t>
    </w:r>
    <w:r w:rsidRPr="00156101">
      <w:rPr>
        <w:rFonts w:ascii="Garamond" w:hAnsi="Garamond" w:cs="Times New Roman (Corpo CS)"/>
        <w:iCs/>
        <w:sz w:val="20"/>
        <w:szCs w:val="20"/>
      </w:rPr>
      <w:t>passe</w:t>
    </w:r>
    <w:proofErr w:type="gramEnd"/>
    <w:r w:rsidRPr="00156101">
      <w:rPr>
        <w:rFonts w:ascii="Garamond" w:hAnsi="Garamond" w:cs="Times New Roman (Corpo CS)"/>
        <w:iCs/>
        <w:sz w:val="20"/>
        <w:szCs w:val="20"/>
      </w:rPr>
      <w:t xml:space="preserve"> </w:t>
    </w:r>
    <w:proofErr w:type="spellStart"/>
    <w:r w:rsidRPr="00156101">
      <w:rPr>
        <w:rFonts w:ascii="Garamond" w:hAnsi="Garamond" w:cs="Times New Roman (Corpo CS)"/>
        <w:iCs/>
        <w:sz w:val="20"/>
        <w:szCs w:val="20"/>
      </w:rPr>
      <w:t>sanitaire</w:t>
    </w:r>
    <w:proofErr w:type="spellEnd"/>
    <w:r>
      <w:rPr>
        <w:rFonts w:ascii="Garamond" w:hAnsi="Garamond" w:cs="Times New Roman (Corpo CS)"/>
        <w:i/>
        <w:iCs/>
        <w:sz w:val="20"/>
        <w:szCs w:val="20"/>
      </w:rPr>
      <w:t xml:space="preserve"> francese: tra libertà individuali e tutela della salute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8285" w14:textId="5FA80C4E" w:rsidR="006B1761" w:rsidRDefault="006B1761">
    <w:pPr>
      <w:pStyle w:val="Intestazione"/>
    </w:pPr>
  </w:p>
  <w:p w14:paraId="008CF18E" w14:textId="77777777" w:rsidR="006B1761" w:rsidRDefault="006B176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55F1B"/>
    <w:multiLevelType w:val="hybridMultilevel"/>
    <w:tmpl w:val="11ECF692"/>
    <w:lvl w:ilvl="0" w:tplc="BE7AD028">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 w15:restartNumberingAfterBreak="0">
    <w:nsid w:val="09E244BA"/>
    <w:multiLevelType w:val="hybridMultilevel"/>
    <w:tmpl w:val="94DC548E"/>
    <w:lvl w:ilvl="0" w:tplc="A94E891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9EA5AA5"/>
    <w:multiLevelType w:val="hybridMultilevel"/>
    <w:tmpl w:val="18FCEBC6"/>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5157BD"/>
    <w:multiLevelType w:val="hybridMultilevel"/>
    <w:tmpl w:val="9A509438"/>
    <w:lvl w:ilvl="0" w:tplc="B81A45D4">
      <w:start w:val="1"/>
      <w:numFmt w:val="decimal"/>
      <w:lvlText w:val="%1)"/>
      <w:lvlJc w:val="left"/>
      <w:pPr>
        <w:ind w:left="1068" w:hanging="360"/>
      </w:pPr>
      <w:rPr>
        <w:rFonts w:hint="default"/>
        <w:b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4" w15:restartNumberingAfterBreak="0">
    <w:nsid w:val="423529CE"/>
    <w:multiLevelType w:val="hybridMultilevel"/>
    <w:tmpl w:val="D0ACD5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854143F"/>
    <w:multiLevelType w:val="hybridMultilevel"/>
    <w:tmpl w:val="D85E08F6"/>
    <w:lvl w:ilvl="0" w:tplc="5F965F06">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4E645BC"/>
    <w:multiLevelType w:val="hybridMultilevel"/>
    <w:tmpl w:val="3912D14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B3307F3"/>
    <w:multiLevelType w:val="multilevel"/>
    <w:tmpl w:val="60589B5E"/>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6A093815"/>
    <w:multiLevelType w:val="hybridMultilevel"/>
    <w:tmpl w:val="B89E3A6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6FD47778"/>
    <w:multiLevelType w:val="hybridMultilevel"/>
    <w:tmpl w:val="E00820FE"/>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350449320">
    <w:abstractNumId w:val="8"/>
  </w:num>
  <w:num w:numId="2" w16cid:durableId="895119288">
    <w:abstractNumId w:val="0"/>
  </w:num>
  <w:num w:numId="3" w16cid:durableId="793786990">
    <w:abstractNumId w:val="1"/>
  </w:num>
  <w:num w:numId="4" w16cid:durableId="1051928940">
    <w:abstractNumId w:val="4"/>
  </w:num>
  <w:num w:numId="5" w16cid:durableId="1965769683">
    <w:abstractNumId w:val="3"/>
  </w:num>
  <w:num w:numId="6" w16cid:durableId="1859855586">
    <w:abstractNumId w:val="7"/>
  </w:num>
  <w:num w:numId="7" w16cid:durableId="2014643376">
    <w:abstractNumId w:val="5"/>
  </w:num>
  <w:num w:numId="8" w16cid:durableId="757873777">
    <w:abstractNumId w:val="6"/>
  </w:num>
  <w:num w:numId="9" w16cid:durableId="523135952">
    <w:abstractNumId w:val="9"/>
  </w:num>
  <w:num w:numId="10" w16cid:durableId="6176876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0814"/>
    <w:rsid w:val="000021FB"/>
    <w:rsid w:val="00002FC6"/>
    <w:rsid w:val="00003F57"/>
    <w:rsid w:val="00004382"/>
    <w:rsid w:val="0001208F"/>
    <w:rsid w:val="00015ABB"/>
    <w:rsid w:val="00015D7C"/>
    <w:rsid w:val="00021FF5"/>
    <w:rsid w:val="00027E5F"/>
    <w:rsid w:val="0003188F"/>
    <w:rsid w:val="00032253"/>
    <w:rsid w:val="00035B2F"/>
    <w:rsid w:val="00036354"/>
    <w:rsid w:val="00036D85"/>
    <w:rsid w:val="00040C92"/>
    <w:rsid w:val="00044DCB"/>
    <w:rsid w:val="00045352"/>
    <w:rsid w:val="0005084A"/>
    <w:rsid w:val="00051D09"/>
    <w:rsid w:val="0005271E"/>
    <w:rsid w:val="00052A24"/>
    <w:rsid w:val="0005323A"/>
    <w:rsid w:val="000547A0"/>
    <w:rsid w:val="00054E7F"/>
    <w:rsid w:val="00061517"/>
    <w:rsid w:val="0006169A"/>
    <w:rsid w:val="00065E49"/>
    <w:rsid w:val="00065F71"/>
    <w:rsid w:val="00066968"/>
    <w:rsid w:val="00066BAD"/>
    <w:rsid w:val="000720D4"/>
    <w:rsid w:val="00072B54"/>
    <w:rsid w:val="00075E77"/>
    <w:rsid w:val="0007670A"/>
    <w:rsid w:val="00076A2A"/>
    <w:rsid w:val="00080616"/>
    <w:rsid w:val="0008132A"/>
    <w:rsid w:val="00081BFD"/>
    <w:rsid w:val="000828D9"/>
    <w:rsid w:val="00084823"/>
    <w:rsid w:val="00094DE7"/>
    <w:rsid w:val="000961E2"/>
    <w:rsid w:val="00096C22"/>
    <w:rsid w:val="0009703B"/>
    <w:rsid w:val="0009769B"/>
    <w:rsid w:val="00097ED1"/>
    <w:rsid w:val="00097FBE"/>
    <w:rsid w:val="000A0C06"/>
    <w:rsid w:val="000A0F7D"/>
    <w:rsid w:val="000A5E47"/>
    <w:rsid w:val="000A7DC3"/>
    <w:rsid w:val="000B19D7"/>
    <w:rsid w:val="000B2A92"/>
    <w:rsid w:val="000B3935"/>
    <w:rsid w:val="000B52DD"/>
    <w:rsid w:val="000B6634"/>
    <w:rsid w:val="000B75DA"/>
    <w:rsid w:val="000C0AEC"/>
    <w:rsid w:val="000C1A30"/>
    <w:rsid w:val="000C2015"/>
    <w:rsid w:val="000C22E2"/>
    <w:rsid w:val="000C34AA"/>
    <w:rsid w:val="000C481B"/>
    <w:rsid w:val="000C4A4D"/>
    <w:rsid w:val="000C66FD"/>
    <w:rsid w:val="000D00AB"/>
    <w:rsid w:val="000D02B9"/>
    <w:rsid w:val="000D1C2A"/>
    <w:rsid w:val="000D2589"/>
    <w:rsid w:val="000D4608"/>
    <w:rsid w:val="000D5368"/>
    <w:rsid w:val="000D593D"/>
    <w:rsid w:val="000E2DDD"/>
    <w:rsid w:val="000E4098"/>
    <w:rsid w:val="000E4C25"/>
    <w:rsid w:val="000E6774"/>
    <w:rsid w:val="000F0E3B"/>
    <w:rsid w:val="000F733E"/>
    <w:rsid w:val="001032C0"/>
    <w:rsid w:val="00103404"/>
    <w:rsid w:val="00103ECA"/>
    <w:rsid w:val="0010741B"/>
    <w:rsid w:val="001074AA"/>
    <w:rsid w:val="00110409"/>
    <w:rsid w:val="00111F1C"/>
    <w:rsid w:val="00112E3D"/>
    <w:rsid w:val="00117334"/>
    <w:rsid w:val="00121125"/>
    <w:rsid w:val="00121149"/>
    <w:rsid w:val="00122D44"/>
    <w:rsid w:val="00124FA5"/>
    <w:rsid w:val="0012782B"/>
    <w:rsid w:val="001314AA"/>
    <w:rsid w:val="00131AF0"/>
    <w:rsid w:val="00131B8B"/>
    <w:rsid w:val="00132175"/>
    <w:rsid w:val="00133EC6"/>
    <w:rsid w:val="001402A3"/>
    <w:rsid w:val="001427D2"/>
    <w:rsid w:val="00145C5C"/>
    <w:rsid w:val="0014661D"/>
    <w:rsid w:val="00147619"/>
    <w:rsid w:val="001520D2"/>
    <w:rsid w:val="001529AC"/>
    <w:rsid w:val="0015510C"/>
    <w:rsid w:val="00156101"/>
    <w:rsid w:val="00170725"/>
    <w:rsid w:val="00173135"/>
    <w:rsid w:val="001731EF"/>
    <w:rsid w:val="00174124"/>
    <w:rsid w:val="001742B3"/>
    <w:rsid w:val="00181061"/>
    <w:rsid w:val="0018202B"/>
    <w:rsid w:val="001830F6"/>
    <w:rsid w:val="00183C9A"/>
    <w:rsid w:val="001849D4"/>
    <w:rsid w:val="00184AF0"/>
    <w:rsid w:val="00185A41"/>
    <w:rsid w:val="001866B9"/>
    <w:rsid w:val="001920AF"/>
    <w:rsid w:val="001954EF"/>
    <w:rsid w:val="00195CA3"/>
    <w:rsid w:val="001A15B1"/>
    <w:rsid w:val="001A3BBC"/>
    <w:rsid w:val="001A4A74"/>
    <w:rsid w:val="001A4D7B"/>
    <w:rsid w:val="001A5C5D"/>
    <w:rsid w:val="001A7EAA"/>
    <w:rsid w:val="001B25C6"/>
    <w:rsid w:val="001B3C1F"/>
    <w:rsid w:val="001B6612"/>
    <w:rsid w:val="001B7DA3"/>
    <w:rsid w:val="001C1447"/>
    <w:rsid w:val="001C3363"/>
    <w:rsid w:val="001C3B72"/>
    <w:rsid w:val="001C504B"/>
    <w:rsid w:val="001D0397"/>
    <w:rsid w:val="001E1C3F"/>
    <w:rsid w:val="001E25D5"/>
    <w:rsid w:val="001E5A6E"/>
    <w:rsid w:val="001E6F1F"/>
    <w:rsid w:val="001F119F"/>
    <w:rsid w:val="001F2F0A"/>
    <w:rsid w:val="00200C44"/>
    <w:rsid w:val="00200F4B"/>
    <w:rsid w:val="00203B89"/>
    <w:rsid w:val="00206562"/>
    <w:rsid w:val="0021192C"/>
    <w:rsid w:val="002148BC"/>
    <w:rsid w:val="002164D4"/>
    <w:rsid w:val="0021788A"/>
    <w:rsid w:val="00223D24"/>
    <w:rsid w:val="00225FC1"/>
    <w:rsid w:val="00230E1F"/>
    <w:rsid w:val="002315B8"/>
    <w:rsid w:val="00237526"/>
    <w:rsid w:val="00242B0C"/>
    <w:rsid w:val="00242E42"/>
    <w:rsid w:val="00252EFF"/>
    <w:rsid w:val="0025662E"/>
    <w:rsid w:val="00262D68"/>
    <w:rsid w:val="00263DB7"/>
    <w:rsid w:val="00266883"/>
    <w:rsid w:val="00272A0B"/>
    <w:rsid w:val="002749D9"/>
    <w:rsid w:val="00276FDC"/>
    <w:rsid w:val="002775A0"/>
    <w:rsid w:val="00280723"/>
    <w:rsid w:val="00283FE1"/>
    <w:rsid w:val="002848A8"/>
    <w:rsid w:val="0028654F"/>
    <w:rsid w:val="00290B52"/>
    <w:rsid w:val="00290B71"/>
    <w:rsid w:val="0029514E"/>
    <w:rsid w:val="00296451"/>
    <w:rsid w:val="00297A87"/>
    <w:rsid w:val="002A47CA"/>
    <w:rsid w:val="002A7059"/>
    <w:rsid w:val="002B0620"/>
    <w:rsid w:val="002B0814"/>
    <w:rsid w:val="002B1C1C"/>
    <w:rsid w:val="002B3741"/>
    <w:rsid w:val="002B5EFA"/>
    <w:rsid w:val="002B71BF"/>
    <w:rsid w:val="002C13F2"/>
    <w:rsid w:val="002C3269"/>
    <w:rsid w:val="002C41DB"/>
    <w:rsid w:val="002D320A"/>
    <w:rsid w:val="002D4C9B"/>
    <w:rsid w:val="002D5BD9"/>
    <w:rsid w:val="002D61DE"/>
    <w:rsid w:val="002D74D5"/>
    <w:rsid w:val="002D74EB"/>
    <w:rsid w:val="002D78D7"/>
    <w:rsid w:val="002E189F"/>
    <w:rsid w:val="002E1E5E"/>
    <w:rsid w:val="002E2142"/>
    <w:rsid w:val="002E2ACE"/>
    <w:rsid w:val="002E5C79"/>
    <w:rsid w:val="002E5F3E"/>
    <w:rsid w:val="002E7772"/>
    <w:rsid w:val="002E7EA3"/>
    <w:rsid w:val="002F10FA"/>
    <w:rsid w:val="002F1834"/>
    <w:rsid w:val="002F40BD"/>
    <w:rsid w:val="002F56E1"/>
    <w:rsid w:val="002F6E75"/>
    <w:rsid w:val="002F702A"/>
    <w:rsid w:val="002F7643"/>
    <w:rsid w:val="00301206"/>
    <w:rsid w:val="0030218B"/>
    <w:rsid w:val="0030254C"/>
    <w:rsid w:val="00302EFE"/>
    <w:rsid w:val="0030376F"/>
    <w:rsid w:val="00306705"/>
    <w:rsid w:val="00310171"/>
    <w:rsid w:val="00310BD0"/>
    <w:rsid w:val="00311351"/>
    <w:rsid w:val="00311C14"/>
    <w:rsid w:val="00314030"/>
    <w:rsid w:val="00314315"/>
    <w:rsid w:val="00314D59"/>
    <w:rsid w:val="00315965"/>
    <w:rsid w:val="003230DA"/>
    <w:rsid w:val="00323629"/>
    <w:rsid w:val="00324958"/>
    <w:rsid w:val="00327410"/>
    <w:rsid w:val="00335F2E"/>
    <w:rsid w:val="00336754"/>
    <w:rsid w:val="00340816"/>
    <w:rsid w:val="003458E3"/>
    <w:rsid w:val="00346D94"/>
    <w:rsid w:val="00346EE6"/>
    <w:rsid w:val="00347191"/>
    <w:rsid w:val="00351EA7"/>
    <w:rsid w:val="0035424D"/>
    <w:rsid w:val="00355D93"/>
    <w:rsid w:val="00356CD4"/>
    <w:rsid w:val="003606F1"/>
    <w:rsid w:val="00361FCC"/>
    <w:rsid w:val="00364384"/>
    <w:rsid w:val="003654AF"/>
    <w:rsid w:val="00367041"/>
    <w:rsid w:val="00367CE3"/>
    <w:rsid w:val="00376388"/>
    <w:rsid w:val="00384DCE"/>
    <w:rsid w:val="00385763"/>
    <w:rsid w:val="00387379"/>
    <w:rsid w:val="00392E93"/>
    <w:rsid w:val="00392FBB"/>
    <w:rsid w:val="00395932"/>
    <w:rsid w:val="003A43FE"/>
    <w:rsid w:val="003A7C4F"/>
    <w:rsid w:val="003B0B6D"/>
    <w:rsid w:val="003B528B"/>
    <w:rsid w:val="003B65CE"/>
    <w:rsid w:val="003C0142"/>
    <w:rsid w:val="003C0318"/>
    <w:rsid w:val="003C0CA8"/>
    <w:rsid w:val="003C23D6"/>
    <w:rsid w:val="003C3DA4"/>
    <w:rsid w:val="003C4FBD"/>
    <w:rsid w:val="003C581E"/>
    <w:rsid w:val="003D0B5D"/>
    <w:rsid w:val="003D12A8"/>
    <w:rsid w:val="003D2226"/>
    <w:rsid w:val="003D2C2C"/>
    <w:rsid w:val="003D3C5B"/>
    <w:rsid w:val="003D5F17"/>
    <w:rsid w:val="003D746E"/>
    <w:rsid w:val="003E1FE0"/>
    <w:rsid w:val="003E35B3"/>
    <w:rsid w:val="003E4A71"/>
    <w:rsid w:val="003E65B9"/>
    <w:rsid w:val="003E74F3"/>
    <w:rsid w:val="003F2678"/>
    <w:rsid w:val="003F278A"/>
    <w:rsid w:val="003F3E5E"/>
    <w:rsid w:val="003F422D"/>
    <w:rsid w:val="003F5229"/>
    <w:rsid w:val="003F67AB"/>
    <w:rsid w:val="003F7BDE"/>
    <w:rsid w:val="003F7D17"/>
    <w:rsid w:val="00403CA2"/>
    <w:rsid w:val="00404C0C"/>
    <w:rsid w:val="00406D5C"/>
    <w:rsid w:val="00411882"/>
    <w:rsid w:val="0041385B"/>
    <w:rsid w:val="00415277"/>
    <w:rsid w:val="004176B5"/>
    <w:rsid w:val="00421000"/>
    <w:rsid w:val="00422A7C"/>
    <w:rsid w:val="00423A04"/>
    <w:rsid w:val="00423A9E"/>
    <w:rsid w:val="00430FC5"/>
    <w:rsid w:val="004312E1"/>
    <w:rsid w:val="00431523"/>
    <w:rsid w:val="00432688"/>
    <w:rsid w:val="00433424"/>
    <w:rsid w:val="00436128"/>
    <w:rsid w:val="004367B0"/>
    <w:rsid w:val="00441365"/>
    <w:rsid w:val="004413F4"/>
    <w:rsid w:val="004414FC"/>
    <w:rsid w:val="00443C89"/>
    <w:rsid w:val="00445764"/>
    <w:rsid w:val="00450071"/>
    <w:rsid w:val="00450CCA"/>
    <w:rsid w:val="0045450C"/>
    <w:rsid w:val="00462DFB"/>
    <w:rsid w:val="00462FEF"/>
    <w:rsid w:val="00465E35"/>
    <w:rsid w:val="0046728D"/>
    <w:rsid w:val="004712BB"/>
    <w:rsid w:val="004778E9"/>
    <w:rsid w:val="00477B45"/>
    <w:rsid w:val="00480E77"/>
    <w:rsid w:val="00481CA2"/>
    <w:rsid w:val="0048339F"/>
    <w:rsid w:val="00484322"/>
    <w:rsid w:val="00484FE1"/>
    <w:rsid w:val="00485F3A"/>
    <w:rsid w:val="00487B11"/>
    <w:rsid w:val="00493C16"/>
    <w:rsid w:val="004A5D2C"/>
    <w:rsid w:val="004A7C52"/>
    <w:rsid w:val="004B1003"/>
    <w:rsid w:val="004B3C83"/>
    <w:rsid w:val="004B433D"/>
    <w:rsid w:val="004B5C3A"/>
    <w:rsid w:val="004B7D6F"/>
    <w:rsid w:val="004B7E11"/>
    <w:rsid w:val="004C2078"/>
    <w:rsid w:val="004C3870"/>
    <w:rsid w:val="004C3FE6"/>
    <w:rsid w:val="004C4747"/>
    <w:rsid w:val="004C49A3"/>
    <w:rsid w:val="004C4F11"/>
    <w:rsid w:val="004D1E5D"/>
    <w:rsid w:val="004D231F"/>
    <w:rsid w:val="004D332F"/>
    <w:rsid w:val="004D3EB0"/>
    <w:rsid w:val="004D6FBF"/>
    <w:rsid w:val="004E1787"/>
    <w:rsid w:val="004E1FB1"/>
    <w:rsid w:val="004E1FD0"/>
    <w:rsid w:val="004E2F61"/>
    <w:rsid w:val="004E51FE"/>
    <w:rsid w:val="004E55EF"/>
    <w:rsid w:val="00500686"/>
    <w:rsid w:val="00501D41"/>
    <w:rsid w:val="00503B12"/>
    <w:rsid w:val="005047EB"/>
    <w:rsid w:val="005063EE"/>
    <w:rsid w:val="005115BD"/>
    <w:rsid w:val="00512D22"/>
    <w:rsid w:val="0051398A"/>
    <w:rsid w:val="00517026"/>
    <w:rsid w:val="00520124"/>
    <w:rsid w:val="00521822"/>
    <w:rsid w:val="005220D4"/>
    <w:rsid w:val="00523BA3"/>
    <w:rsid w:val="00524B30"/>
    <w:rsid w:val="005277F6"/>
    <w:rsid w:val="00527CED"/>
    <w:rsid w:val="005326D9"/>
    <w:rsid w:val="00534917"/>
    <w:rsid w:val="00536250"/>
    <w:rsid w:val="005377F2"/>
    <w:rsid w:val="00537FF2"/>
    <w:rsid w:val="00540144"/>
    <w:rsid w:val="00540BEA"/>
    <w:rsid w:val="0054138E"/>
    <w:rsid w:val="0054371D"/>
    <w:rsid w:val="005442F1"/>
    <w:rsid w:val="005467BB"/>
    <w:rsid w:val="005659DA"/>
    <w:rsid w:val="00565A7B"/>
    <w:rsid w:val="00570079"/>
    <w:rsid w:val="0057115E"/>
    <w:rsid w:val="005736CD"/>
    <w:rsid w:val="005755F3"/>
    <w:rsid w:val="005804A5"/>
    <w:rsid w:val="00585BBC"/>
    <w:rsid w:val="00585F7B"/>
    <w:rsid w:val="00586104"/>
    <w:rsid w:val="00587B41"/>
    <w:rsid w:val="00592C5A"/>
    <w:rsid w:val="00593643"/>
    <w:rsid w:val="00594A6D"/>
    <w:rsid w:val="00595E44"/>
    <w:rsid w:val="00597E81"/>
    <w:rsid w:val="005A3539"/>
    <w:rsid w:val="005A4A9C"/>
    <w:rsid w:val="005A519B"/>
    <w:rsid w:val="005B063F"/>
    <w:rsid w:val="005B1392"/>
    <w:rsid w:val="005B4501"/>
    <w:rsid w:val="005B486F"/>
    <w:rsid w:val="005B607E"/>
    <w:rsid w:val="005C0F36"/>
    <w:rsid w:val="005C16F9"/>
    <w:rsid w:val="005C339F"/>
    <w:rsid w:val="005C43CE"/>
    <w:rsid w:val="005C4541"/>
    <w:rsid w:val="005D0260"/>
    <w:rsid w:val="005D77E1"/>
    <w:rsid w:val="005E1F73"/>
    <w:rsid w:val="005E1FC3"/>
    <w:rsid w:val="005E2B39"/>
    <w:rsid w:val="005E3542"/>
    <w:rsid w:val="005E3788"/>
    <w:rsid w:val="005E561C"/>
    <w:rsid w:val="005E7361"/>
    <w:rsid w:val="005F1276"/>
    <w:rsid w:val="005F1D0E"/>
    <w:rsid w:val="005F775F"/>
    <w:rsid w:val="00602374"/>
    <w:rsid w:val="00602B20"/>
    <w:rsid w:val="006035C6"/>
    <w:rsid w:val="006058EE"/>
    <w:rsid w:val="00610053"/>
    <w:rsid w:val="006102BD"/>
    <w:rsid w:val="006102E1"/>
    <w:rsid w:val="006162CD"/>
    <w:rsid w:val="0061721E"/>
    <w:rsid w:val="00617616"/>
    <w:rsid w:val="00620315"/>
    <w:rsid w:val="00621C54"/>
    <w:rsid w:val="006228D4"/>
    <w:rsid w:val="00626D35"/>
    <w:rsid w:val="0062750F"/>
    <w:rsid w:val="00637CBD"/>
    <w:rsid w:val="006446AA"/>
    <w:rsid w:val="00650591"/>
    <w:rsid w:val="006565FC"/>
    <w:rsid w:val="00656A51"/>
    <w:rsid w:val="00656CC7"/>
    <w:rsid w:val="006570DC"/>
    <w:rsid w:val="00657725"/>
    <w:rsid w:val="00660145"/>
    <w:rsid w:val="006617C4"/>
    <w:rsid w:val="00661C9A"/>
    <w:rsid w:val="00662EA1"/>
    <w:rsid w:val="0066398E"/>
    <w:rsid w:val="00667E8A"/>
    <w:rsid w:val="0067400B"/>
    <w:rsid w:val="00676288"/>
    <w:rsid w:val="0067640C"/>
    <w:rsid w:val="00676EC1"/>
    <w:rsid w:val="0068170B"/>
    <w:rsid w:val="0068621A"/>
    <w:rsid w:val="00686FCE"/>
    <w:rsid w:val="00687E7C"/>
    <w:rsid w:val="006906D9"/>
    <w:rsid w:val="00690DA7"/>
    <w:rsid w:val="0069109B"/>
    <w:rsid w:val="006913FE"/>
    <w:rsid w:val="00691C74"/>
    <w:rsid w:val="00693CD0"/>
    <w:rsid w:val="00697530"/>
    <w:rsid w:val="00697A9A"/>
    <w:rsid w:val="00697DB4"/>
    <w:rsid w:val="006A0AA8"/>
    <w:rsid w:val="006A1359"/>
    <w:rsid w:val="006A2F75"/>
    <w:rsid w:val="006A5CB7"/>
    <w:rsid w:val="006B058D"/>
    <w:rsid w:val="006B1761"/>
    <w:rsid w:val="006B19AE"/>
    <w:rsid w:val="006B2743"/>
    <w:rsid w:val="006B3C08"/>
    <w:rsid w:val="006B505C"/>
    <w:rsid w:val="006B52A3"/>
    <w:rsid w:val="006B5E7B"/>
    <w:rsid w:val="006B7614"/>
    <w:rsid w:val="006C3709"/>
    <w:rsid w:val="006C5543"/>
    <w:rsid w:val="006C6C10"/>
    <w:rsid w:val="006D3D76"/>
    <w:rsid w:val="006D4A44"/>
    <w:rsid w:val="006D50C6"/>
    <w:rsid w:val="006D6345"/>
    <w:rsid w:val="006D6B45"/>
    <w:rsid w:val="006E0A6E"/>
    <w:rsid w:val="006E4197"/>
    <w:rsid w:val="006E429F"/>
    <w:rsid w:val="006E747C"/>
    <w:rsid w:val="006F2BA4"/>
    <w:rsid w:val="006F2C10"/>
    <w:rsid w:val="006F4D44"/>
    <w:rsid w:val="006F7C58"/>
    <w:rsid w:val="006F7DD5"/>
    <w:rsid w:val="007013CF"/>
    <w:rsid w:val="00704C0F"/>
    <w:rsid w:val="00710606"/>
    <w:rsid w:val="007116E2"/>
    <w:rsid w:val="00714AEE"/>
    <w:rsid w:val="007165D6"/>
    <w:rsid w:val="00717C5C"/>
    <w:rsid w:val="00720383"/>
    <w:rsid w:val="00721776"/>
    <w:rsid w:val="00723663"/>
    <w:rsid w:val="00725126"/>
    <w:rsid w:val="00725B7B"/>
    <w:rsid w:val="007263B8"/>
    <w:rsid w:val="00730CE1"/>
    <w:rsid w:val="00732EFE"/>
    <w:rsid w:val="0073734B"/>
    <w:rsid w:val="00737B48"/>
    <w:rsid w:val="007401DC"/>
    <w:rsid w:val="00740CFF"/>
    <w:rsid w:val="007451ED"/>
    <w:rsid w:val="0075067F"/>
    <w:rsid w:val="00751A36"/>
    <w:rsid w:val="0075265E"/>
    <w:rsid w:val="00752DA5"/>
    <w:rsid w:val="00755FCF"/>
    <w:rsid w:val="00756C11"/>
    <w:rsid w:val="007578B1"/>
    <w:rsid w:val="00763E06"/>
    <w:rsid w:val="00763FB0"/>
    <w:rsid w:val="00764AD6"/>
    <w:rsid w:val="00765CD3"/>
    <w:rsid w:val="00766995"/>
    <w:rsid w:val="007672E7"/>
    <w:rsid w:val="007673CE"/>
    <w:rsid w:val="0077299D"/>
    <w:rsid w:val="00773BE6"/>
    <w:rsid w:val="00775EEE"/>
    <w:rsid w:val="007766F1"/>
    <w:rsid w:val="007770F1"/>
    <w:rsid w:val="00780EDB"/>
    <w:rsid w:val="00783249"/>
    <w:rsid w:val="007848F9"/>
    <w:rsid w:val="00785CDF"/>
    <w:rsid w:val="007943BA"/>
    <w:rsid w:val="007954C2"/>
    <w:rsid w:val="00795ABF"/>
    <w:rsid w:val="007A158F"/>
    <w:rsid w:val="007A1BC7"/>
    <w:rsid w:val="007A4605"/>
    <w:rsid w:val="007A61C1"/>
    <w:rsid w:val="007B33A0"/>
    <w:rsid w:val="007B40A6"/>
    <w:rsid w:val="007B4233"/>
    <w:rsid w:val="007B46BE"/>
    <w:rsid w:val="007B7102"/>
    <w:rsid w:val="007C22A5"/>
    <w:rsid w:val="007C2802"/>
    <w:rsid w:val="007C631E"/>
    <w:rsid w:val="007D2563"/>
    <w:rsid w:val="007D63E3"/>
    <w:rsid w:val="007D6F3B"/>
    <w:rsid w:val="007E482C"/>
    <w:rsid w:val="007E5781"/>
    <w:rsid w:val="007E6D9B"/>
    <w:rsid w:val="007F52BE"/>
    <w:rsid w:val="007F6ACA"/>
    <w:rsid w:val="007F70D1"/>
    <w:rsid w:val="007F75E1"/>
    <w:rsid w:val="00801227"/>
    <w:rsid w:val="00801B64"/>
    <w:rsid w:val="0080627F"/>
    <w:rsid w:val="00810299"/>
    <w:rsid w:val="008111D7"/>
    <w:rsid w:val="00812952"/>
    <w:rsid w:val="00820015"/>
    <w:rsid w:val="0082373F"/>
    <w:rsid w:val="0082729E"/>
    <w:rsid w:val="00832AE5"/>
    <w:rsid w:val="0083467B"/>
    <w:rsid w:val="00835EDA"/>
    <w:rsid w:val="00837DA6"/>
    <w:rsid w:val="00841048"/>
    <w:rsid w:val="00847E71"/>
    <w:rsid w:val="008512CA"/>
    <w:rsid w:val="00854770"/>
    <w:rsid w:val="008548ED"/>
    <w:rsid w:val="00863C1A"/>
    <w:rsid w:val="00864771"/>
    <w:rsid w:val="00870AEB"/>
    <w:rsid w:val="00871102"/>
    <w:rsid w:val="00871745"/>
    <w:rsid w:val="00880AB3"/>
    <w:rsid w:val="00881BFE"/>
    <w:rsid w:val="00882EA9"/>
    <w:rsid w:val="00887518"/>
    <w:rsid w:val="008878AE"/>
    <w:rsid w:val="00893C37"/>
    <w:rsid w:val="008976BF"/>
    <w:rsid w:val="00897E22"/>
    <w:rsid w:val="008A033D"/>
    <w:rsid w:val="008A210A"/>
    <w:rsid w:val="008A4E87"/>
    <w:rsid w:val="008A73BA"/>
    <w:rsid w:val="008A74B7"/>
    <w:rsid w:val="008B1B8E"/>
    <w:rsid w:val="008B597E"/>
    <w:rsid w:val="008C16F4"/>
    <w:rsid w:val="008C34BA"/>
    <w:rsid w:val="008D1E0C"/>
    <w:rsid w:val="008D4135"/>
    <w:rsid w:val="008D5AFD"/>
    <w:rsid w:val="008D5DDC"/>
    <w:rsid w:val="008E0BFA"/>
    <w:rsid w:val="008E0D1F"/>
    <w:rsid w:val="008E1F98"/>
    <w:rsid w:val="008E3989"/>
    <w:rsid w:val="008E3FD3"/>
    <w:rsid w:val="008E6277"/>
    <w:rsid w:val="008E782D"/>
    <w:rsid w:val="008E78BC"/>
    <w:rsid w:val="008F040E"/>
    <w:rsid w:val="008F3C1F"/>
    <w:rsid w:val="009002DB"/>
    <w:rsid w:val="0090110E"/>
    <w:rsid w:val="00902CDA"/>
    <w:rsid w:val="00902F49"/>
    <w:rsid w:val="00905903"/>
    <w:rsid w:val="0090661E"/>
    <w:rsid w:val="00910F82"/>
    <w:rsid w:val="00911A24"/>
    <w:rsid w:val="00915728"/>
    <w:rsid w:val="009178BA"/>
    <w:rsid w:val="00917B86"/>
    <w:rsid w:val="00920D9F"/>
    <w:rsid w:val="00922171"/>
    <w:rsid w:val="009244F8"/>
    <w:rsid w:val="00925767"/>
    <w:rsid w:val="00926982"/>
    <w:rsid w:val="00930159"/>
    <w:rsid w:val="00931EB0"/>
    <w:rsid w:val="009337AC"/>
    <w:rsid w:val="00936BF6"/>
    <w:rsid w:val="00937416"/>
    <w:rsid w:val="00940B84"/>
    <w:rsid w:val="00941364"/>
    <w:rsid w:val="0094262F"/>
    <w:rsid w:val="00943901"/>
    <w:rsid w:val="009441FB"/>
    <w:rsid w:val="00944C5F"/>
    <w:rsid w:val="00946397"/>
    <w:rsid w:val="009470C3"/>
    <w:rsid w:val="009511DE"/>
    <w:rsid w:val="00952299"/>
    <w:rsid w:val="00963F49"/>
    <w:rsid w:val="00965AFC"/>
    <w:rsid w:val="00965CDA"/>
    <w:rsid w:val="00967C93"/>
    <w:rsid w:val="00970264"/>
    <w:rsid w:val="0097084B"/>
    <w:rsid w:val="00970AB9"/>
    <w:rsid w:val="00973C44"/>
    <w:rsid w:val="00974FAC"/>
    <w:rsid w:val="00977B78"/>
    <w:rsid w:val="00982A43"/>
    <w:rsid w:val="00985310"/>
    <w:rsid w:val="00985590"/>
    <w:rsid w:val="00985B53"/>
    <w:rsid w:val="00987231"/>
    <w:rsid w:val="00993023"/>
    <w:rsid w:val="00994303"/>
    <w:rsid w:val="009945D1"/>
    <w:rsid w:val="00994DC1"/>
    <w:rsid w:val="009958A2"/>
    <w:rsid w:val="009A0388"/>
    <w:rsid w:val="009A0FBE"/>
    <w:rsid w:val="009A2B29"/>
    <w:rsid w:val="009A2FED"/>
    <w:rsid w:val="009A3D5F"/>
    <w:rsid w:val="009A5D74"/>
    <w:rsid w:val="009A6016"/>
    <w:rsid w:val="009A7074"/>
    <w:rsid w:val="009B2BFC"/>
    <w:rsid w:val="009B2C08"/>
    <w:rsid w:val="009B42AD"/>
    <w:rsid w:val="009B590E"/>
    <w:rsid w:val="009B64B9"/>
    <w:rsid w:val="009B6EEC"/>
    <w:rsid w:val="009B7ED1"/>
    <w:rsid w:val="009C1CD0"/>
    <w:rsid w:val="009C345C"/>
    <w:rsid w:val="009D25E6"/>
    <w:rsid w:val="009D6328"/>
    <w:rsid w:val="009E1154"/>
    <w:rsid w:val="009E34D7"/>
    <w:rsid w:val="009E5B61"/>
    <w:rsid w:val="009F28AC"/>
    <w:rsid w:val="00A00992"/>
    <w:rsid w:val="00A041E7"/>
    <w:rsid w:val="00A04787"/>
    <w:rsid w:val="00A053F0"/>
    <w:rsid w:val="00A07C38"/>
    <w:rsid w:val="00A07DFA"/>
    <w:rsid w:val="00A1084F"/>
    <w:rsid w:val="00A124A4"/>
    <w:rsid w:val="00A17C1F"/>
    <w:rsid w:val="00A206C3"/>
    <w:rsid w:val="00A207A9"/>
    <w:rsid w:val="00A212EB"/>
    <w:rsid w:val="00A24B3E"/>
    <w:rsid w:val="00A302F5"/>
    <w:rsid w:val="00A31969"/>
    <w:rsid w:val="00A34572"/>
    <w:rsid w:val="00A36C98"/>
    <w:rsid w:val="00A424E5"/>
    <w:rsid w:val="00A42ABD"/>
    <w:rsid w:val="00A4406C"/>
    <w:rsid w:val="00A46C0C"/>
    <w:rsid w:val="00A51BE0"/>
    <w:rsid w:val="00A522DF"/>
    <w:rsid w:val="00A57F10"/>
    <w:rsid w:val="00A62EF5"/>
    <w:rsid w:val="00A62F15"/>
    <w:rsid w:val="00A64293"/>
    <w:rsid w:val="00A659E8"/>
    <w:rsid w:val="00A71D1E"/>
    <w:rsid w:val="00A74B59"/>
    <w:rsid w:val="00A84F00"/>
    <w:rsid w:val="00A86286"/>
    <w:rsid w:val="00A94705"/>
    <w:rsid w:val="00AA1529"/>
    <w:rsid w:val="00AA2D22"/>
    <w:rsid w:val="00AA656C"/>
    <w:rsid w:val="00AA6D2B"/>
    <w:rsid w:val="00AA71E4"/>
    <w:rsid w:val="00AB12F2"/>
    <w:rsid w:val="00AB1DA1"/>
    <w:rsid w:val="00AB2687"/>
    <w:rsid w:val="00AB2BFA"/>
    <w:rsid w:val="00AB4FD4"/>
    <w:rsid w:val="00AC0D1A"/>
    <w:rsid w:val="00AC10C3"/>
    <w:rsid w:val="00AC1A33"/>
    <w:rsid w:val="00AC481A"/>
    <w:rsid w:val="00AC4BB8"/>
    <w:rsid w:val="00AC4F5E"/>
    <w:rsid w:val="00AC5FA1"/>
    <w:rsid w:val="00AD19E1"/>
    <w:rsid w:val="00AD2AB5"/>
    <w:rsid w:val="00AD652C"/>
    <w:rsid w:val="00AD6AF4"/>
    <w:rsid w:val="00AD788E"/>
    <w:rsid w:val="00AD78EF"/>
    <w:rsid w:val="00AE30D8"/>
    <w:rsid w:val="00AE3716"/>
    <w:rsid w:val="00AE4FB8"/>
    <w:rsid w:val="00AE6232"/>
    <w:rsid w:val="00AF08B1"/>
    <w:rsid w:val="00AF0926"/>
    <w:rsid w:val="00AF0B01"/>
    <w:rsid w:val="00AF393F"/>
    <w:rsid w:val="00AF6463"/>
    <w:rsid w:val="00AF6E45"/>
    <w:rsid w:val="00B017A4"/>
    <w:rsid w:val="00B01BA1"/>
    <w:rsid w:val="00B02E0D"/>
    <w:rsid w:val="00B060D1"/>
    <w:rsid w:val="00B06360"/>
    <w:rsid w:val="00B07C69"/>
    <w:rsid w:val="00B14228"/>
    <w:rsid w:val="00B168DD"/>
    <w:rsid w:val="00B216CE"/>
    <w:rsid w:val="00B239A7"/>
    <w:rsid w:val="00B23C2A"/>
    <w:rsid w:val="00B259F5"/>
    <w:rsid w:val="00B25A3B"/>
    <w:rsid w:val="00B2689B"/>
    <w:rsid w:val="00B27855"/>
    <w:rsid w:val="00B304A4"/>
    <w:rsid w:val="00B32E84"/>
    <w:rsid w:val="00B3386F"/>
    <w:rsid w:val="00B33A57"/>
    <w:rsid w:val="00B35C38"/>
    <w:rsid w:val="00B36E84"/>
    <w:rsid w:val="00B37BA8"/>
    <w:rsid w:val="00B41565"/>
    <w:rsid w:val="00B41572"/>
    <w:rsid w:val="00B44166"/>
    <w:rsid w:val="00B44635"/>
    <w:rsid w:val="00B46F20"/>
    <w:rsid w:val="00B47C12"/>
    <w:rsid w:val="00B514EC"/>
    <w:rsid w:val="00B5262B"/>
    <w:rsid w:val="00B61103"/>
    <w:rsid w:val="00B64315"/>
    <w:rsid w:val="00B67169"/>
    <w:rsid w:val="00B74486"/>
    <w:rsid w:val="00B806B2"/>
    <w:rsid w:val="00B843D1"/>
    <w:rsid w:val="00B8752E"/>
    <w:rsid w:val="00B92990"/>
    <w:rsid w:val="00B93143"/>
    <w:rsid w:val="00B93189"/>
    <w:rsid w:val="00B935F1"/>
    <w:rsid w:val="00B93C8E"/>
    <w:rsid w:val="00B94946"/>
    <w:rsid w:val="00B96868"/>
    <w:rsid w:val="00B973FD"/>
    <w:rsid w:val="00BA00EE"/>
    <w:rsid w:val="00BA26DE"/>
    <w:rsid w:val="00BA2853"/>
    <w:rsid w:val="00BA3789"/>
    <w:rsid w:val="00BA3E50"/>
    <w:rsid w:val="00BA43D4"/>
    <w:rsid w:val="00BA5C1F"/>
    <w:rsid w:val="00BA5CE8"/>
    <w:rsid w:val="00BA6B8F"/>
    <w:rsid w:val="00BB08B0"/>
    <w:rsid w:val="00BB0BA9"/>
    <w:rsid w:val="00BB109F"/>
    <w:rsid w:val="00BB2A80"/>
    <w:rsid w:val="00BC23A3"/>
    <w:rsid w:val="00BC2FE6"/>
    <w:rsid w:val="00BD0519"/>
    <w:rsid w:val="00BD1128"/>
    <w:rsid w:val="00BD2B7D"/>
    <w:rsid w:val="00BD3139"/>
    <w:rsid w:val="00BD42A1"/>
    <w:rsid w:val="00BE0B0B"/>
    <w:rsid w:val="00BE106B"/>
    <w:rsid w:val="00BE33E0"/>
    <w:rsid w:val="00BE5A46"/>
    <w:rsid w:val="00BE6D67"/>
    <w:rsid w:val="00BF0962"/>
    <w:rsid w:val="00BF2134"/>
    <w:rsid w:val="00BF3C18"/>
    <w:rsid w:val="00BF4E76"/>
    <w:rsid w:val="00BF7FC7"/>
    <w:rsid w:val="00C015DF"/>
    <w:rsid w:val="00C0301E"/>
    <w:rsid w:val="00C03398"/>
    <w:rsid w:val="00C04C45"/>
    <w:rsid w:val="00C04F6B"/>
    <w:rsid w:val="00C053BC"/>
    <w:rsid w:val="00C0741B"/>
    <w:rsid w:val="00C1103C"/>
    <w:rsid w:val="00C22EF6"/>
    <w:rsid w:val="00C24F33"/>
    <w:rsid w:val="00C25751"/>
    <w:rsid w:val="00C25FCE"/>
    <w:rsid w:val="00C31B88"/>
    <w:rsid w:val="00C32EAD"/>
    <w:rsid w:val="00C34EEB"/>
    <w:rsid w:val="00C3620C"/>
    <w:rsid w:val="00C364C7"/>
    <w:rsid w:val="00C36A73"/>
    <w:rsid w:val="00C371FA"/>
    <w:rsid w:val="00C42781"/>
    <w:rsid w:val="00C43356"/>
    <w:rsid w:val="00C44FBD"/>
    <w:rsid w:val="00C45C41"/>
    <w:rsid w:val="00C4689A"/>
    <w:rsid w:val="00C46B0F"/>
    <w:rsid w:val="00C47C35"/>
    <w:rsid w:val="00C50C62"/>
    <w:rsid w:val="00C5176C"/>
    <w:rsid w:val="00C520D3"/>
    <w:rsid w:val="00C52B0D"/>
    <w:rsid w:val="00C5497B"/>
    <w:rsid w:val="00C54D92"/>
    <w:rsid w:val="00C709BD"/>
    <w:rsid w:val="00C7373C"/>
    <w:rsid w:val="00C74353"/>
    <w:rsid w:val="00C827FD"/>
    <w:rsid w:val="00C83A7B"/>
    <w:rsid w:val="00C87898"/>
    <w:rsid w:val="00C91D6B"/>
    <w:rsid w:val="00C92585"/>
    <w:rsid w:val="00C94D39"/>
    <w:rsid w:val="00CA058B"/>
    <w:rsid w:val="00CA0B7A"/>
    <w:rsid w:val="00CA15A1"/>
    <w:rsid w:val="00CA2C5A"/>
    <w:rsid w:val="00CA2ED2"/>
    <w:rsid w:val="00CA40D2"/>
    <w:rsid w:val="00CA482C"/>
    <w:rsid w:val="00CA6776"/>
    <w:rsid w:val="00CA7CCE"/>
    <w:rsid w:val="00CA7EBD"/>
    <w:rsid w:val="00CB09EA"/>
    <w:rsid w:val="00CB0BEC"/>
    <w:rsid w:val="00CB6ADA"/>
    <w:rsid w:val="00CC2684"/>
    <w:rsid w:val="00CC5350"/>
    <w:rsid w:val="00CC6C57"/>
    <w:rsid w:val="00CD2138"/>
    <w:rsid w:val="00CD4027"/>
    <w:rsid w:val="00CD50BC"/>
    <w:rsid w:val="00CD7E54"/>
    <w:rsid w:val="00CE3403"/>
    <w:rsid w:val="00CE347B"/>
    <w:rsid w:val="00CF1107"/>
    <w:rsid w:val="00CF21E1"/>
    <w:rsid w:val="00CF49DC"/>
    <w:rsid w:val="00D01452"/>
    <w:rsid w:val="00D01BA2"/>
    <w:rsid w:val="00D03B93"/>
    <w:rsid w:val="00D04025"/>
    <w:rsid w:val="00D04943"/>
    <w:rsid w:val="00D05777"/>
    <w:rsid w:val="00D05A78"/>
    <w:rsid w:val="00D07350"/>
    <w:rsid w:val="00D12519"/>
    <w:rsid w:val="00D12E8A"/>
    <w:rsid w:val="00D14A58"/>
    <w:rsid w:val="00D1564E"/>
    <w:rsid w:val="00D2108E"/>
    <w:rsid w:val="00D21C2B"/>
    <w:rsid w:val="00D2300C"/>
    <w:rsid w:val="00D24894"/>
    <w:rsid w:val="00D24A98"/>
    <w:rsid w:val="00D25210"/>
    <w:rsid w:val="00D252C8"/>
    <w:rsid w:val="00D25525"/>
    <w:rsid w:val="00D27CDD"/>
    <w:rsid w:val="00D31307"/>
    <w:rsid w:val="00D32BDC"/>
    <w:rsid w:val="00D35B4A"/>
    <w:rsid w:val="00D35C73"/>
    <w:rsid w:val="00D36000"/>
    <w:rsid w:val="00D36328"/>
    <w:rsid w:val="00D36836"/>
    <w:rsid w:val="00D41571"/>
    <w:rsid w:val="00D452A3"/>
    <w:rsid w:val="00D46A5A"/>
    <w:rsid w:val="00D509D8"/>
    <w:rsid w:val="00D53C9D"/>
    <w:rsid w:val="00D53CB3"/>
    <w:rsid w:val="00D55852"/>
    <w:rsid w:val="00D56F80"/>
    <w:rsid w:val="00D618D9"/>
    <w:rsid w:val="00D61A38"/>
    <w:rsid w:val="00D627D0"/>
    <w:rsid w:val="00D66D22"/>
    <w:rsid w:val="00D704DF"/>
    <w:rsid w:val="00D70556"/>
    <w:rsid w:val="00D72AC9"/>
    <w:rsid w:val="00D7352F"/>
    <w:rsid w:val="00D76506"/>
    <w:rsid w:val="00D76F34"/>
    <w:rsid w:val="00D8080D"/>
    <w:rsid w:val="00D819DD"/>
    <w:rsid w:val="00D81FB8"/>
    <w:rsid w:val="00D85BFC"/>
    <w:rsid w:val="00D85F8C"/>
    <w:rsid w:val="00D9433E"/>
    <w:rsid w:val="00D95B39"/>
    <w:rsid w:val="00D95C75"/>
    <w:rsid w:val="00D973B7"/>
    <w:rsid w:val="00DA1C2D"/>
    <w:rsid w:val="00DA3D59"/>
    <w:rsid w:val="00DA4A7F"/>
    <w:rsid w:val="00DA7485"/>
    <w:rsid w:val="00DB108E"/>
    <w:rsid w:val="00DB62EB"/>
    <w:rsid w:val="00DC06A0"/>
    <w:rsid w:val="00DC281C"/>
    <w:rsid w:val="00DC3A5A"/>
    <w:rsid w:val="00DC45EC"/>
    <w:rsid w:val="00DC65A5"/>
    <w:rsid w:val="00DD6332"/>
    <w:rsid w:val="00DD6A1D"/>
    <w:rsid w:val="00DD7D13"/>
    <w:rsid w:val="00DE1185"/>
    <w:rsid w:val="00DE18DD"/>
    <w:rsid w:val="00DE29CD"/>
    <w:rsid w:val="00DE5E7D"/>
    <w:rsid w:val="00DE6FD1"/>
    <w:rsid w:val="00DF342E"/>
    <w:rsid w:val="00DF540F"/>
    <w:rsid w:val="00DF5EB1"/>
    <w:rsid w:val="00E02A17"/>
    <w:rsid w:val="00E032EE"/>
    <w:rsid w:val="00E04423"/>
    <w:rsid w:val="00E044A8"/>
    <w:rsid w:val="00E05A98"/>
    <w:rsid w:val="00E073F5"/>
    <w:rsid w:val="00E1458B"/>
    <w:rsid w:val="00E1494B"/>
    <w:rsid w:val="00E14BB6"/>
    <w:rsid w:val="00E157BF"/>
    <w:rsid w:val="00E21E59"/>
    <w:rsid w:val="00E233E9"/>
    <w:rsid w:val="00E243D2"/>
    <w:rsid w:val="00E27C1A"/>
    <w:rsid w:val="00E32656"/>
    <w:rsid w:val="00E40141"/>
    <w:rsid w:val="00E44E85"/>
    <w:rsid w:val="00E455DF"/>
    <w:rsid w:val="00E46863"/>
    <w:rsid w:val="00E471A6"/>
    <w:rsid w:val="00E47A27"/>
    <w:rsid w:val="00E5199B"/>
    <w:rsid w:val="00E51AE6"/>
    <w:rsid w:val="00E51F3B"/>
    <w:rsid w:val="00E53770"/>
    <w:rsid w:val="00E53E72"/>
    <w:rsid w:val="00E55739"/>
    <w:rsid w:val="00E56110"/>
    <w:rsid w:val="00E575DA"/>
    <w:rsid w:val="00E57F88"/>
    <w:rsid w:val="00E7196C"/>
    <w:rsid w:val="00E72504"/>
    <w:rsid w:val="00E74E44"/>
    <w:rsid w:val="00E76398"/>
    <w:rsid w:val="00E76CBF"/>
    <w:rsid w:val="00E855BC"/>
    <w:rsid w:val="00E86FF8"/>
    <w:rsid w:val="00E91E9C"/>
    <w:rsid w:val="00E94F3E"/>
    <w:rsid w:val="00E9517A"/>
    <w:rsid w:val="00E962F8"/>
    <w:rsid w:val="00EA405D"/>
    <w:rsid w:val="00EA4559"/>
    <w:rsid w:val="00EA5688"/>
    <w:rsid w:val="00EA5C8A"/>
    <w:rsid w:val="00EB28D4"/>
    <w:rsid w:val="00EB60D4"/>
    <w:rsid w:val="00EC2C1B"/>
    <w:rsid w:val="00EC4878"/>
    <w:rsid w:val="00EC5E66"/>
    <w:rsid w:val="00EC6134"/>
    <w:rsid w:val="00EC72A8"/>
    <w:rsid w:val="00EE24F6"/>
    <w:rsid w:val="00EE3808"/>
    <w:rsid w:val="00EF1EF5"/>
    <w:rsid w:val="00EF3531"/>
    <w:rsid w:val="00F020E8"/>
    <w:rsid w:val="00F039E8"/>
    <w:rsid w:val="00F03CCA"/>
    <w:rsid w:val="00F06FAD"/>
    <w:rsid w:val="00F07A3D"/>
    <w:rsid w:val="00F102AB"/>
    <w:rsid w:val="00F173E3"/>
    <w:rsid w:val="00F17850"/>
    <w:rsid w:val="00F200F6"/>
    <w:rsid w:val="00F20EDF"/>
    <w:rsid w:val="00F2144D"/>
    <w:rsid w:val="00F21718"/>
    <w:rsid w:val="00F24B8E"/>
    <w:rsid w:val="00F25E4E"/>
    <w:rsid w:val="00F30F40"/>
    <w:rsid w:val="00F326E9"/>
    <w:rsid w:val="00F404F5"/>
    <w:rsid w:val="00F45E3A"/>
    <w:rsid w:val="00F468A1"/>
    <w:rsid w:val="00F51D09"/>
    <w:rsid w:val="00F55D5A"/>
    <w:rsid w:val="00F55E42"/>
    <w:rsid w:val="00F56792"/>
    <w:rsid w:val="00F602CB"/>
    <w:rsid w:val="00F60CF0"/>
    <w:rsid w:val="00F64437"/>
    <w:rsid w:val="00F651B6"/>
    <w:rsid w:val="00F668C7"/>
    <w:rsid w:val="00F670C1"/>
    <w:rsid w:val="00F67217"/>
    <w:rsid w:val="00F722F2"/>
    <w:rsid w:val="00F77E30"/>
    <w:rsid w:val="00F802E1"/>
    <w:rsid w:val="00F86794"/>
    <w:rsid w:val="00F907D8"/>
    <w:rsid w:val="00F90FEF"/>
    <w:rsid w:val="00F94F36"/>
    <w:rsid w:val="00F959F1"/>
    <w:rsid w:val="00F96005"/>
    <w:rsid w:val="00F96202"/>
    <w:rsid w:val="00F963FC"/>
    <w:rsid w:val="00FA1A59"/>
    <w:rsid w:val="00FA353F"/>
    <w:rsid w:val="00FA35C7"/>
    <w:rsid w:val="00FA6BA1"/>
    <w:rsid w:val="00FA7F4E"/>
    <w:rsid w:val="00FB5243"/>
    <w:rsid w:val="00FB5E08"/>
    <w:rsid w:val="00FC0AE5"/>
    <w:rsid w:val="00FC0F29"/>
    <w:rsid w:val="00FC6D9C"/>
    <w:rsid w:val="00FD00D4"/>
    <w:rsid w:val="00FD1C53"/>
    <w:rsid w:val="00FD239D"/>
    <w:rsid w:val="00FD3040"/>
    <w:rsid w:val="00FD6185"/>
    <w:rsid w:val="00FE6BEB"/>
    <w:rsid w:val="00FE796C"/>
    <w:rsid w:val="00FF159E"/>
    <w:rsid w:val="00FF1C59"/>
    <w:rsid w:val="00FF1FD0"/>
    <w:rsid w:val="00FF3ADD"/>
    <w:rsid w:val="00FF3E40"/>
    <w:rsid w:val="00FF48FC"/>
    <w:rsid w:val="00FF6334"/>
    <w:rsid w:val="00FF7EB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71A704"/>
  <w15:docId w15:val="{5D4CE9DC-8A72-0A4C-B68C-05A0C2E60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link w:val="Titolo1Carattere"/>
    <w:uiPriority w:val="9"/>
    <w:qFormat/>
    <w:rsid w:val="000F0E3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next w:val="Normale"/>
    <w:link w:val="Titolo2Carattere"/>
    <w:uiPriority w:val="9"/>
    <w:semiHidden/>
    <w:unhideWhenUsed/>
    <w:qFormat/>
    <w:rsid w:val="00035B2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D07350"/>
    <w:pPr>
      <w:keepNext/>
      <w:keepLines/>
      <w:spacing w:before="200" w:after="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D0735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B0814"/>
    <w:pPr>
      <w:ind w:left="720"/>
      <w:contextualSpacing/>
    </w:pPr>
  </w:style>
  <w:style w:type="character" w:styleId="Collegamentoipertestuale">
    <w:name w:val="Hyperlink"/>
    <w:basedOn w:val="Carpredefinitoparagrafo"/>
    <w:uiPriority w:val="99"/>
    <w:unhideWhenUsed/>
    <w:rsid w:val="009A2FED"/>
    <w:rPr>
      <w:color w:val="0000FF"/>
      <w:u w:val="single"/>
    </w:rPr>
  </w:style>
  <w:style w:type="paragraph" w:styleId="NormaleWeb">
    <w:name w:val="Normal (Web)"/>
    <w:basedOn w:val="Normale"/>
    <w:uiPriority w:val="99"/>
    <w:unhideWhenUsed/>
    <w:rsid w:val="009A2FED"/>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haptertitle">
    <w:name w:val="chaptertitle"/>
    <w:basedOn w:val="Normale"/>
    <w:rsid w:val="00A62F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titrearticle">
    <w:name w:val="titrearticle"/>
    <w:basedOn w:val="Normale"/>
    <w:rsid w:val="00A62F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centered">
    <w:name w:val="normalcentered"/>
    <w:basedOn w:val="Normale"/>
    <w:rsid w:val="00A62F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li">
    <w:name w:val="li"/>
    <w:basedOn w:val="Normale"/>
    <w:rsid w:val="00A62F1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num">
    <w:name w:val="num"/>
    <w:basedOn w:val="Carpredefinitoparagrafo"/>
    <w:rsid w:val="00A62F15"/>
  </w:style>
  <w:style w:type="paragraph" w:customStyle="1" w:styleId="text1">
    <w:name w:val="text1"/>
    <w:basedOn w:val="Normale"/>
    <w:rsid w:val="00A62F1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FD1C5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D1C53"/>
  </w:style>
  <w:style w:type="paragraph" w:styleId="Pidipagina">
    <w:name w:val="footer"/>
    <w:basedOn w:val="Normale"/>
    <w:link w:val="PidipaginaCarattere"/>
    <w:uiPriority w:val="99"/>
    <w:unhideWhenUsed/>
    <w:rsid w:val="00FD1C5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D1C53"/>
  </w:style>
  <w:style w:type="character" w:styleId="Enfasigrassetto">
    <w:name w:val="Strong"/>
    <w:basedOn w:val="Carpredefinitoparagrafo"/>
    <w:uiPriority w:val="22"/>
    <w:qFormat/>
    <w:rsid w:val="0067640C"/>
    <w:rPr>
      <w:b/>
      <w:bCs/>
    </w:rPr>
  </w:style>
  <w:style w:type="paragraph" w:styleId="Testonotaapidipagina">
    <w:name w:val="footnote text"/>
    <w:aliases w:val="Footnote ak,fn,footnote text,fn Char,Footnote Text Char Char,Footnote Text Char,stile 1,Footnote,Footnote1,Footnote2,Footnote3,Footnote4,Footnote5,Footnote6,Footnote7,Footnote8,Footnote9,Footnote10,Footnote11,Footnote21"/>
    <w:basedOn w:val="Normale"/>
    <w:link w:val="TestonotaapidipaginaCarattere"/>
    <w:uiPriority w:val="99"/>
    <w:unhideWhenUsed/>
    <w:qFormat/>
    <w:rsid w:val="00CE3403"/>
    <w:pPr>
      <w:spacing w:after="0" w:line="240" w:lineRule="auto"/>
    </w:pPr>
    <w:rPr>
      <w:sz w:val="20"/>
      <w:szCs w:val="20"/>
    </w:rPr>
  </w:style>
  <w:style w:type="character" w:customStyle="1" w:styleId="TestonotaapidipaginaCarattere">
    <w:name w:val="Testo nota a piè di pagina Carattere"/>
    <w:aliases w:val="Footnote ak Carattere,fn Carattere,footnote text Carattere,fn Char Carattere,Footnote Text Char Char Carattere,Footnote Text Char Carattere,stile 1 Carattere,Footnote Carattere,Footnote1 Carattere,Footnote2 Carattere"/>
    <w:basedOn w:val="Carpredefinitoparagrafo"/>
    <w:link w:val="Testonotaapidipagina"/>
    <w:uiPriority w:val="99"/>
    <w:rsid w:val="00CE3403"/>
    <w:rPr>
      <w:sz w:val="20"/>
      <w:szCs w:val="20"/>
    </w:rPr>
  </w:style>
  <w:style w:type="character" w:styleId="Rimandonotaapidipagina">
    <w:name w:val="footnote reference"/>
    <w:aliases w:val=" BVI fnr,BVI fnr,Footnote symbol,Ref,de nota al pie,Texto de nota al pie,Appel note de bas de page,Footnotes refss,f,referencia nota al pie,Footnote number,4_G,16 Point,Superscript 6 Point,Texto nota al pie,Times 10 Point,FR"/>
    <w:basedOn w:val="Carpredefinitoparagrafo"/>
    <w:uiPriority w:val="99"/>
    <w:unhideWhenUsed/>
    <w:qFormat/>
    <w:rsid w:val="00CE3403"/>
    <w:rPr>
      <w:vertAlign w:val="superscript"/>
    </w:rPr>
  </w:style>
  <w:style w:type="paragraph" w:styleId="Testonotadichiusura">
    <w:name w:val="endnote text"/>
    <w:basedOn w:val="Normale"/>
    <w:link w:val="TestonotadichiusuraCarattere"/>
    <w:uiPriority w:val="99"/>
    <w:semiHidden/>
    <w:unhideWhenUsed/>
    <w:rsid w:val="009178BA"/>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9178BA"/>
    <w:rPr>
      <w:sz w:val="20"/>
      <w:szCs w:val="20"/>
    </w:rPr>
  </w:style>
  <w:style w:type="character" w:styleId="Rimandonotadichiusura">
    <w:name w:val="endnote reference"/>
    <w:basedOn w:val="Carpredefinitoparagrafo"/>
    <w:uiPriority w:val="99"/>
    <w:semiHidden/>
    <w:unhideWhenUsed/>
    <w:rsid w:val="009178BA"/>
    <w:rPr>
      <w:vertAlign w:val="superscript"/>
    </w:rPr>
  </w:style>
  <w:style w:type="character" w:customStyle="1" w:styleId="e24kjd">
    <w:name w:val="e24kjd"/>
    <w:basedOn w:val="Carpredefinitoparagrafo"/>
    <w:rsid w:val="00132175"/>
  </w:style>
  <w:style w:type="character" w:customStyle="1" w:styleId="Titolo1Carattere">
    <w:name w:val="Titolo 1 Carattere"/>
    <w:basedOn w:val="Carpredefinitoparagrafo"/>
    <w:link w:val="Titolo1"/>
    <w:uiPriority w:val="9"/>
    <w:rsid w:val="000F0E3B"/>
    <w:rPr>
      <w:rFonts w:ascii="Times New Roman" w:eastAsia="Times New Roman" w:hAnsi="Times New Roman" w:cs="Times New Roman"/>
      <w:b/>
      <w:bCs/>
      <w:kern w:val="36"/>
      <w:sz w:val="48"/>
      <w:szCs w:val="48"/>
      <w:lang w:eastAsia="it-IT"/>
    </w:rPr>
  </w:style>
  <w:style w:type="character" w:customStyle="1" w:styleId="outputecliaff">
    <w:name w:val="outputecliaff"/>
    <w:basedOn w:val="Carpredefinitoparagrafo"/>
    <w:rsid w:val="0041385B"/>
  </w:style>
  <w:style w:type="character" w:customStyle="1" w:styleId="ng-binding">
    <w:name w:val="ng-binding"/>
    <w:basedOn w:val="Carpredefinitoparagrafo"/>
    <w:rsid w:val="0015510C"/>
  </w:style>
  <w:style w:type="character" w:customStyle="1" w:styleId="corsivo">
    <w:name w:val="corsivo"/>
    <w:basedOn w:val="Carpredefinitoparagrafo"/>
    <w:rsid w:val="0015510C"/>
  </w:style>
  <w:style w:type="character" w:customStyle="1" w:styleId="textcolumn">
    <w:name w:val="textcolumn"/>
    <w:basedOn w:val="Carpredefinitoparagrafo"/>
    <w:rsid w:val="00AB2687"/>
  </w:style>
  <w:style w:type="character" w:customStyle="1" w:styleId="summarytext">
    <w:name w:val="summarytext"/>
    <w:basedOn w:val="Carpredefinitoparagrafo"/>
    <w:rsid w:val="00C709BD"/>
  </w:style>
  <w:style w:type="character" w:styleId="Enfasicorsivo">
    <w:name w:val="Emphasis"/>
    <w:basedOn w:val="Carpredefinitoparagrafo"/>
    <w:uiPriority w:val="20"/>
    <w:qFormat/>
    <w:rsid w:val="00364384"/>
    <w:rPr>
      <w:i/>
      <w:iCs/>
    </w:rPr>
  </w:style>
  <w:style w:type="character" w:customStyle="1" w:styleId="epname">
    <w:name w:val="ep_name"/>
    <w:basedOn w:val="Carpredefinitoparagrafo"/>
    <w:rsid w:val="004B7D6F"/>
  </w:style>
  <w:style w:type="character" w:customStyle="1" w:styleId="Titolo3Carattere">
    <w:name w:val="Titolo 3 Carattere"/>
    <w:basedOn w:val="Carpredefinitoparagrafo"/>
    <w:link w:val="Titolo3"/>
    <w:uiPriority w:val="9"/>
    <w:semiHidden/>
    <w:rsid w:val="00D07350"/>
    <w:rPr>
      <w:rFonts w:asciiTheme="majorHAnsi" w:eastAsiaTheme="majorEastAsia" w:hAnsiTheme="majorHAnsi" w:cstheme="majorBidi"/>
      <w:b/>
      <w:bCs/>
      <w:color w:val="4F81BD" w:themeColor="accent1"/>
    </w:rPr>
  </w:style>
  <w:style w:type="character" w:customStyle="1" w:styleId="linkgazzetta">
    <w:name w:val="link_gazzetta"/>
    <w:basedOn w:val="Carpredefinitoparagrafo"/>
    <w:rsid w:val="00D07350"/>
  </w:style>
  <w:style w:type="character" w:customStyle="1" w:styleId="Titolo4Carattere">
    <w:name w:val="Titolo 4 Carattere"/>
    <w:basedOn w:val="Carpredefinitoparagrafo"/>
    <w:link w:val="Titolo4"/>
    <w:uiPriority w:val="9"/>
    <w:semiHidden/>
    <w:rsid w:val="00D07350"/>
    <w:rPr>
      <w:rFonts w:asciiTheme="majorHAnsi" w:eastAsiaTheme="majorEastAsia" w:hAnsiTheme="majorHAnsi" w:cstheme="majorBidi"/>
      <w:b/>
      <w:bCs/>
      <w:i/>
      <w:iCs/>
      <w:color w:val="4F81BD" w:themeColor="accent1"/>
    </w:rPr>
  </w:style>
  <w:style w:type="character" w:customStyle="1" w:styleId="rosso">
    <w:name w:val="rosso"/>
    <w:basedOn w:val="Carpredefinitoparagrafo"/>
    <w:rsid w:val="00D07350"/>
  </w:style>
  <w:style w:type="character" w:customStyle="1" w:styleId="Titolo2Carattere">
    <w:name w:val="Titolo 2 Carattere"/>
    <w:basedOn w:val="Carpredefinitoparagrafo"/>
    <w:link w:val="Titolo2"/>
    <w:uiPriority w:val="9"/>
    <w:semiHidden/>
    <w:rsid w:val="00035B2F"/>
    <w:rPr>
      <w:rFonts w:asciiTheme="majorHAnsi" w:eastAsiaTheme="majorEastAsia" w:hAnsiTheme="majorHAnsi" w:cstheme="majorBidi"/>
      <w:b/>
      <w:bCs/>
      <w:color w:val="4F81BD" w:themeColor="accent1"/>
      <w:sz w:val="26"/>
      <w:szCs w:val="26"/>
    </w:rPr>
  </w:style>
  <w:style w:type="character" w:customStyle="1" w:styleId="a-size-medium">
    <w:name w:val="a-size-medium"/>
    <w:basedOn w:val="Carpredefinitoparagrafo"/>
    <w:rsid w:val="00035B2F"/>
  </w:style>
  <w:style w:type="character" w:customStyle="1" w:styleId="a-size-large">
    <w:name w:val="a-size-large"/>
    <w:basedOn w:val="Carpredefinitoparagrafo"/>
    <w:rsid w:val="00C50C62"/>
  </w:style>
  <w:style w:type="character" w:customStyle="1" w:styleId="a">
    <w:name w:val="_"/>
    <w:basedOn w:val="Carpredefinitoparagrafo"/>
    <w:rsid w:val="00395932"/>
  </w:style>
  <w:style w:type="character" w:customStyle="1" w:styleId="ff3">
    <w:name w:val="ff3"/>
    <w:basedOn w:val="Carpredefinitoparagrafo"/>
    <w:rsid w:val="00395932"/>
  </w:style>
  <w:style w:type="character" w:customStyle="1" w:styleId="ws1e">
    <w:name w:val="ws1e"/>
    <w:basedOn w:val="Carpredefinitoparagrafo"/>
    <w:rsid w:val="00395932"/>
  </w:style>
  <w:style w:type="character" w:styleId="Collegamentovisitato">
    <w:name w:val="FollowedHyperlink"/>
    <w:basedOn w:val="Carpredefinitoparagrafo"/>
    <w:uiPriority w:val="99"/>
    <w:semiHidden/>
    <w:unhideWhenUsed/>
    <w:rsid w:val="006913FE"/>
    <w:rPr>
      <w:color w:val="800080" w:themeColor="followedHyperlink"/>
      <w:u w:val="single"/>
    </w:rPr>
  </w:style>
  <w:style w:type="paragraph" w:customStyle="1" w:styleId="rfrenceinstitutionnelle">
    <w:name w:val="rfrenceinstitutionnelle"/>
    <w:basedOn w:val="Normale"/>
    <w:rsid w:val="00602B2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rfrenceinterinstitutionnelle">
    <w:name w:val="rfrenceinterinstitutionnelle"/>
    <w:basedOn w:val="Normale"/>
    <w:rsid w:val="00602B2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Numeropagina">
    <w:name w:val="page number"/>
    <w:basedOn w:val="Carpredefinitoparagrafo"/>
    <w:uiPriority w:val="99"/>
    <w:semiHidden/>
    <w:unhideWhenUsed/>
    <w:rsid w:val="00592C5A"/>
  </w:style>
  <w:style w:type="paragraph" w:styleId="Testofumetto">
    <w:name w:val="Balloon Text"/>
    <w:basedOn w:val="Normale"/>
    <w:link w:val="TestofumettoCarattere"/>
    <w:uiPriority w:val="99"/>
    <w:semiHidden/>
    <w:unhideWhenUsed/>
    <w:rsid w:val="00F102A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102AB"/>
    <w:rPr>
      <w:rFonts w:ascii="Tahoma" w:hAnsi="Tahoma" w:cs="Tahoma"/>
      <w:sz w:val="16"/>
      <w:szCs w:val="16"/>
    </w:rPr>
  </w:style>
  <w:style w:type="paragraph" w:customStyle="1" w:styleId="Contaldi">
    <w:name w:val="Contaldi"/>
    <w:basedOn w:val="Normale"/>
    <w:rsid w:val="00445764"/>
    <w:pPr>
      <w:widowControl w:val="0"/>
      <w:suppressAutoHyphens/>
      <w:spacing w:after="0" w:line="360" w:lineRule="auto"/>
      <w:jc w:val="both"/>
    </w:pPr>
    <w:rPr>
      <w:rFonts w:ascii="Times New Roman" w:eastAsia="Times New Roman" w:hAnsi="Times New Roman" w:cs="Times New Roman"/>
      <w:spacing w:val="20"/>
      <w:sz w:val="24"/>
      <w:szCs w:val="20"/>
      <w:lang w:eastAsia="ar-SA"/>
    </w:rPr>
  </w:style>
  <w:style w:type="paragraph" w:customStyle="1" w:styleId="Default">
    <w:name w:val="Default"/>
    <w:rsid w:val="003606F1"/>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super">
    <w:name w:val="super"/>
    <w:basedOn w:val="Carpredefinitoparagrafo"/>
    <w:rsid w:val="008111D7"/>
  </w:style>
  <w:style w:type="character" w:customStyle="1" w:styleId="title-label">
    <w:name w:val="title-label"/>
    <w:basedOn w:val="Carpredefinitoparagrafo"/>
    <w:rsid w:val="00E47A27"/>
  </w:style>
  <w:style w:type="paragraph" w:customStyle="1" w:styleId="doc-ti">
    <w:name w:val="doc-ti"/>
    <w:basedOn w:val="Normale"/>
    <w:rsid w:val="001314A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d-ti">
    <w:name w:val="hd-ti"/>
    <w:basedOn w:val="Normale"/>
    <w:rsid w:val="003E4A7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hd-oj">
    <w:name w:val="hd-oj"/>
    <w:basedOn w:val="Normale"/>
    <w:rsid w:val="003E4A71"/>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Normale1">
    <w:name w:val="Normale1"/>
    <w:basedOn w:val="Normale"/>
    <w:rsid w:val="002C3269"/>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byline">
    <w:name w:val="byline"/>
    <w:basedOn w:val="Carpredefinitoparagrafo"/>
    <w:rsid w:val="00E76398"/>
  </w:style>
  <w:style w:type="character" w:customStyle="1" w:styleId="listingauthor">
    <w:name w:val="listing__author"/>
    <w:basedOn w:val="Carpredefinitoparagrafo"/>
    <w:rsid w:val="00E76398"/>
  </w:style>
  <w:style w:type="character" w:customStyle="1" w:styleId="outputecli">
    <w:name w:val="outputecli"/>
    <w:basedOn w:val="Carpredefinitoparagrafo"/>
    <w:rsid w:val="00F25E4E"/>
  </w:style>
  <w:style w:type="paragraph" w:styleId="Testocommento">
    <w:name w:val="annotation text"/>
    <w:basedOn w:val="Normale"/>
    <w:link w:val="TestocommentoCarattere"/>
    <w:uiPriority w:val="99"/>
    <w:unhideWhenUsed/>
    <w:rsid w:val="00656A51"/>
    <w:pPr>
      <w:spacing w:after="160" w:line="240" w:lineRule="auto"/>
    </w:pPr>
    <w:rPr>
      <w:sz w:val="20"/>
      <w:szCs w:val="20"/>
    </w:rPr>
  </w:style>
  <w:style w:type="character" w:customStyle="1" w:styleId="TestocommentoCarattere">
    <w:name w:val="Testo commento Carattere"/>
    <w:basedOn w:val="Carpredefinitoparagrafo"/>
    <w:link w:val="Testocommento"/>
    <w:uiPriority w:val="99"/>
    <w:rsid w:val="00656A51"/>
    <w:rPr>
      <w:sz w:val="20"/>
      <w:szCs w:val="20"/>
    </w:rPr>
  </w:style>
  <w:style w:type="paragraph" w:styleId="PreformattatoHTML">
    <w:name w:val="HTML Preformatted"/>
    <w:basedOn w:val="Normale"/>
    <w:link w:val="PreformattatoHTMLCarattere"/>
    <w:uiPriority w:val="99"/>
    <w:semiHidden/>
    <w:unhideWhenUsed/>
    <w:rsid w:val="00656A51"/>
    <w:pPr>
      <w:spacing w:after="0" w:line="240" w:lineRule="auto"/>
    </w:pPr>
    <w:rPr>
      <w:rFonts w:ascii="Consolas" w:hAnsi="Consolas"/>
      <w:sz w:val="20"/>
      <w:szCs w:val="20"/>
    </w:rPr>
  </w:style>
  <w:style w:type="character" w:customStyle="1" w:styleId="PreformattatoHTMLCarattere">
    <w:name w:val="Preformattato HTML Carattere"/>
    <w:basedOn w:val="Carpredefinitoparagrafo"/>
    <w:link w:val="PreformattatoHTML"/>
    <w:uiPriority w:val="99"/>
    <w:semiHidden/>
    <w:rsid w:val="00656A51"/>
    <w:rPr>
      <w:rFonts w:ascii="Consolas" w:hAnsi="Consolas"/>
      <w:sz w:val="20"/>
      <w:szCs w:val="20"/>
    </w:rPr>
  </w:style>
  <w:style w:type="character" w:customStyle="1" w:styleId="Menzionenonrisolta1">
    <w:name w:val="Menzione non risolta1"/>
    <w:basedOn w:val="Carpredefinitoparagrafo"/>
    <w:uiPriority w:val="99"/>
    <w:semiHidden/>
    <w:unhideWhenUsed/>
    <w:rsid w:val="00656A51"/>
    <w:rPr>
      <w:color w:val="605E5C"/>
      <w:shd w:val="clear" w:color="auto" w:fill="E1DFDD"/>
    </w:rPr>
  </w:style>
  <w:style w:type="character" w:styleId="Rimandocommento">
    <w:name w:val="annotation reference"/>
    <w:basedOn w:val="Carpredefinitoparagrafo"/>
    <w:uiPriority w:val="99"/>
    <w:semiHidden/>
    <w:unhideWhenUsed/>
    <w:rsid w:val="00656A51"/>
    <w:rPr>
      <w:sz w:val="16"/>
      <w:szCs w:val="16"/>
    </w:rPr>
  </w:style>
  <w:style w:type="paragraph" w:styleId="Soggettocommento">
    <w:name w:val="annotation subject"/>
    <w:basedOn w:val="Testocommento"/>
    <w:next w:val="Testocommento"/>
    <w:link w:val="SoggettocommentoCarattere"/>
    <w:uiPriority w:val="99"/>
    <w:semiHidden/>
    <w:unhideWhenUsed/>
    <w:rsid w:val="00656A51"/>
    <w:rPr>
      <w:b/>
      <w:bCs/>
    </w:rPr>
  </w:style>
  <w:style w:type="character" w:customStyle="1" w:styleId="SoggettocommentoCarattere">
    <w:name w:val="Soggetto commento Carattere"/>
    <w:basedOn w:val="TestocommentoCarattere"/>
    <w:link w:val="Soggettocommento"/>
    <w:uiPriority w:val="99"/>
    <w:semiHidden/>
    <w:rsid w:val="00656A51"/>
    <w:rPr>
      <w:b/>
      <w:bCs/>
      <w:sz w:val="20"/>
      <w:szCs w:val="20"/>
    </w:rPr>
  </w:style>
  <w:style w:type="character" w:customStyle="1" w:styleId="Menzionenonrisolta2">
    <w:name w:val="Menzione non risolta2"/>
    <w:basedOn w:val="Carpredefinitoparagrafo"/>
    <w:uiPriority w:val="99"/>
    <w:semiHidden/>
    <w:unhideWhenUsed/>
    <w:rsid w:val="00656A51"/>
    <w:rPr>
      <w:color w:val="605E5C"/>
      <w:shd w:val="clear" w:color="auto" w:fill="E1DFDD"/>
    </w:rPr>
  </w:style>
  <w:style w:type="character" w:customStyle="1" w:styleId="Menzionenonrisolta3">
    <w:name w:val="Menzione non risolta3"/>
    <w:basedOn w:val="Carpredefinitoparagrafo"/>
    <w:uiPriority w:val="99"/>
    <w:semiHidden/>
    <w:unhideWhenUsed/>
    <w:rsid w:val="001C1447"/>
    <w:rPr>
      <w:color w:val="605E5C"/>
      <w:shd w:val="clear" w:color="auto" w:fill="E1DFDD"/>
    </w:rPr>
  </w:style>
  <w:style w:type="paragraph" w:styleId="Revisione">
    <w:name w:val="Revision"/>
    <w:hidden/>
    <w:uiPriority w:val="99"/>
    <w:semiHidden/>
    <w:rsid w:val="001561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215">
      <w:bodyDiv w:val="1"/>
      <w:marLeft w:val="0"/>
      <w:marRight w:val="0"/>
      <w:marTop w:val="0"/>
      <w:marBottom w:val="0"/>
      <w:divBdr>
        <w:top w:val="none" w:sz="0" w:space="0" w:color="auto"/>
        <w:left w:val="none" w:sz="0" w:space="0" w:color="auto"/>
        <w:bottom w:val="none" w:sz="0" w:space="0" w:color="auto"/>
        <w:right w:val="none" w:sz="0" w:space="0" w:color="auto"/>
      </w:divBdr>
    </w:div>
    <w:div w:id="47264850">
      <w:bodyDiv w:val="1"/>
      <w:marLeft w:val="0"/>
      <w:marRight w:val="0"/>
      <w:marTop w:val="0"/>
      <w:marBottom w:val="0"/>
      <w:divBdr>
        <w:top w:val="none" w:sz="0" w:space="0" w:color="auto"/>
        <w:left w:val="none" w:sz="0" w:space="0" w:color="auto"/>
        <w:bottom w:val="none" w:sz="0" w:space="0" w:color="auto"/>
        <w:right w:val="none" w:sz="0" w:space="0" w:color="auto"/>
      </w:divBdr>
    </w:div>
    <w:div w:id="58872360">
      <w:bodyDiv w:val="1"/>
      <w:marLeft w:val="0"/>
      <w:marRight w:val="0"/>
      <w:marTop w:val="0"/>
      <w:marBottom w:val="0"/>
      <w:divBdr>
        <w:top w:val="none" w:sz="0" w:space="0" w:color="auto"/>
        <w:left w:val="none" w:sz="0" w:space="0" w:color="auto"/>
        <w:bottom w:val="none" w:sz="0" w:space="0" w:color="auto"/>
        <w:right w:val="none" w:sz="0" w:space="0" w:color="auto"/>
      </w:divBdr>
      <w:divsChild>
        <w:div w:id="1776712547">
          <w:marLeft w:val="0"/>
          <w:marRight w:val="0"/>
          <w:marTop w:val="0"/>
          <w:marBottom w:val="0"/>
          <w:divBdr>
            <w:top w:val="none" w:sz="0" w:space="0" w:color="auto"/>
            <w:left w:val="none" w:sz="0" w:space="0" w:color="auto"/>
            <w:bottom w:val="none" w:sz="0" w:space="0" w:color="auto"/>
            <w:right w:val="none" w:sz="0" w:space="0" w:color="auto"/>
          </w:divBdr>
        </w:div>
        <w:div w:id="985672195">
          <w:marLeft w:val="0"/>
          <w:marRight w:val="0"/>
          <w:marTop w:val="0"/>
          <w:marBottom w:val="0"/>
          <w:divBdr>
            <w:top w:val="none" w:sz="0" w:space="0" w:color="auto"/>
            <w:left w:val="none" w:sz="0" w:space="0" w:color="auto"/>
            <w:bottom w:val="none" w:sz="0" w:space="0" w:color="auto"/>
            <w:right w:val="none" w:sz="0" w:space="0" w:color="auto"/>
          </w:divBdr>
        </w:div>
        <w:div w:id="1050111833">
          <w:marLeft w:val="0"/>
          <w:marRight w:val="0"/>
          <w:marTop w:val="0"/>
          <w:marBottom w:val="0"/>
          <w:divBdr>
            <w:top w:val="none" w:sz="0" w:space="0" w:color="auto"/>
            <w:left w:val="none" w:sz="0" w:space="0" w:color="auto"/>
            <w:bottom w:val="none" w:sz="0" w:space="0" w:color="auto"/>
            <w:right w:val="none" w:sz="0" w:space="0" w:color="auto"/>
          </w:divBdr>
        </w:div>
        <w:div w:id="1205405150">
          <w:marLeft w:val="0"/>
          <w:marRight w:val="0"/>
          <w:marTop w:val="0"/>
          <w:marBottom w:val="0"/>
          <w:divBdr>
            <w:top w:val="none" w:sz="0" w:space="0" w:color="auto"/>
            <w:left w:val="none" w:sz="0" w:space="0" w:color="auto"/>
            <w:bottom w:val="none" w:sz="0" w:space="0" w:color="auto"/>
            <w:right w:val="none" w:sz="0" w:space="0" w:color="auto"/>
          </w:divBdr>
        </w:div>
        <w:div w:id="698555751">
          <w:marLeft w:val="0"/>
          <w:marRight w:val="0"/>
          <w:marTop w:val="0"/>
          <w:marBottom w:val="0"/>
          <w:divBdr>
            <w:top w:val="none" w:sz="0" w:space="0" w:color="auto"/>
            <w:left w:val="none" w:sz="0" w:space="0" w:color="auto"/>
            <w:bottom w:val="none" w:sz="0" w:space="0" w:color="auto"/>
            <w:right w:val="none" w:sz="0" w:space="0" w:color="auto"/>
          </w:divBdr>
        </w:div>
        <w:div w:id="437070587">
          <w:marLeft w:val="0"/>
          <w:marRight w:val="0"/>
          <w:marTop w:val="0"/>
          <w:marBottom w:val="0"/>
          <w:divBdr>
            <w:top w:val="none" w:sz="0" w:space="0" w:color="auto"/>
            <w:left w:val="none" w:sz="0" w:space="0" w:color="auto"/>
            <w:bottom w:val="none" w:sz="0" w:space="0" w:color="auto"/>
            <w:right w:val="none" w:sz="0" w:space="0" w:color="auto"/>
          </w:divBdr>
        </w:div>
      </w:divsChild>
    </w:div>
    <w:div w:id="120811016">
      <w:bodyDiv w:val="1"/>
      <w:marLeft w:val="0"/>
      <w:marRight w:val="0"/>
      <w:marTop w:val="0"/>
      <w:marBottom w:val="0"/>
      <w:divBdr>
        <w:top w:val="none" w:sz="0" w:space="0" w:color="auto"/>
        <w:left w:val="none" w:sz="0" w:space="0" w:color="auto"/>
        <w:bottom w:val="none" w:sz="0" w:space="0" w:color="auto"/>
        <w:right w:val="none" w:sz="0" w:space="0" w:color="auto"/>
      </w:divBdr>
    </w:div>
    <w:div w:id="169834280">
      <w:bodyDiv w:val="1"/>
      <w:marLeft w:val="0"/>
      <w:marRight w:val="0"/>
      <w:marTop w:val="0"/>
      <w:marBottom w:val="0"/>
      <w:divBdr>
        <w:top w:val="none" w:sz="0" w:space="0" w:color="auto"/>
        <w:left w:val="none" w:sz="0" w:space="0" w:color="auto"/>
        <w:bottom w:val="none" w:sz="0" w:space="0" w:color="auto"/>
        <w:right w:val="none" w:sz="0" w:space="0" w:color="auto"/>
      </w:divBdr>
      <w:divsChild>
        <w:div w:id="1978417602">
          <w:marLeft w:val="0"/>
          <w:marRight w:val="750"/>
          <w:marTop w:val="30"/>
          <w:marBottom w:val="0"/>
          <w:divBdr>
            <w:top w:val="none" w:sz="0" w:space="0" w:color="auto"/>
            <w:left w:val="none" w:sz="0" w:space="0" w:color="auto"/>
            <w:bottom w:val="none" w:sz="0" w:space="0" w:color="auto"/>
            <w:right w:val="none" w:sz="0" w:space="0" w:color="auto"/>
          </w:divBdr>
        </w:div>
        <w:div w:id="1415585030">
          <w:marLeft w:val="0"/>
          <w:marRight w:val="750"/>
          <w:marTop w:val="30"/>
          <w:marBottom w:val="0"/>
          <w:divBdr>
            <w:top w:val="none" w:sz="0" w:space="0" w:color="auto"/>
            <w:left w:val="none" w:sz="0" w:space="0" w:color="auto"/>
            <w:bottom w:val="none" w:sz="0" w:space="0" w:color="auto"/>
            <w:right w:val="none" w:sz="0" w:space="0" w:color="auto"/>
          </w:divBdr>
        </w:div>
        <w:div w:id="2099978167">
          <w:marLeft w:val="0"/>
          <w:marRight w:val="750"/>
          <w:marTop w:val="30"/>
          <w:marBottom w:val="0"/>
          <w:divBdr>
            <w:top w:val="none" w:sz="0" w:space="0" w:color="auto"/>
            <w:left w:val="none" w:sz="0" w:space="0" w:color="auto"/>
            <w:bottom w:val="none" w:sz="0" w:space="0" w:color="auto"/>
            <w:right w:val="none" w:sz="0" w:space="0" w:color="auto"/>
          </w:divBdr>
        </w:div>
        <w:div w:id="1057125808">
          <w:marLeft w:val="0"/>
          <w:marRight w:val="750"/>
          <w:marTop w:val="30"/>
          <w:marBottom w:val="0"/>
          <w:divBdr>
            <w:top w:val="none" w:sz="0" w:space="0" w:color="auto"/>
            <w:left w:val="none" w:sz="0" w:space="0" w:color="auto"/>
            <w:bottom w:val="none" w:sz="0" w:space="0" w:color="auto"/>
            <w:right w:val="none" w:sz="0" w:space="0" w:color="auto"/>
          </w:divBdr>
        </w:div>
      </w:divsChild>
    </w:div>
    <w:div w:id="182133600">
      <w:bodyDiv w:val="1"/>
      <w:marLeft w:val="0"/>
      <w:marRight w:val="0"/>
      <w:marTop w:val="0"/>
      <w:marBottom w:val="0"/>
      <w:divBdr>
        <w:top w:val="none" w:sz="0" w:space="0" w:color="auto"/>
        <w:left w:val="none" w:sz="0" w:space="0" w:color="auto"/>
        <w:bottom w:val="none" w:sz="0" w:space="0" w:color="auto"/>
        <w:right w:val="none" w:sz="0" w:space="0" w:color="auto"/>
      </w:divBdr>
    </w:div>
    <w:div w:id="202668968">
      <w:bodyDiv w:val="1"/>
      <w:marLeft w:val="0"/>
      <w:marRight w:val="0"/>
      <w:marTop w:val="0"/>
      <w:marBottom w:val="0"/>
      <w:divBdr>
        <w:top w:val="none" w:sz="0" w:space="0" w:color="auto"/>
        <w:left w:val="none" w:sz="0" w:space="0" w:color="auto"/>
        <w:bottom w:val="none" w:sz="0" w:space="0" w:color="auto"/>
        <w:right w:val="none" w:sz="0" w:space="0" w:color="auto"/>
      </w:divBdr>
    </w:div>
    <w:div w:id="215748833">
      <w:bodyDiv w:val="1"/>
      <w:marLeft w:val="0"/>
      <w:marRight w:val="0"/>
      <w:marTop w:val="0"/>
      <w:marBottom w:val="0"/>
      <w:divBdr>
        <w:top w:val="none" w:sz="0" w:space="0" w:color="auto"/>
        <w:left w:val="none" w:sz="0" w:space="0" w:color="auto"/>
        <w:bottom w:val="none" w:sz="0" w:space="0" w:color="auto"/>
        <w:right w:val="none" w:sz="0" w:space="0" w:color="auto"/>
      </w:divBdr>
    </w:div>
    <w:div w:id="234946705">
      <w:bodyDiv w:val="1"/>
      <w:marLeft w:val="0"/>
      <w:marRight w:val="0"/>
      <w:marTop w:val="0"/>
      <w:marBottom w:val="0"/>
      <w:divBdr>
        <w:top w:val="none" w:sz="0" w:space="0" w:color="auto"/>
        <w:left w:val="none" w:sz="0" w:space="0" w:color="auto"/>
        <w:bottom w:val="none" w:sz="0" w:space="0" w:color="auto"/>
        <w:right w:val="none" w:sz="0" w:space="0" w:color="auto"/>
      </w:divBdr>
    </w:div>
    <w:div w:id="312217190">
      <w:bodyDiv w:val="1"/>
      <w:marLeft w:val="0"/>
      <w:marRight w:val="0"/>
      <w:marTop w:val="0"/>
      <w:marBottom w:val="0"/>
      <w:divBdr>
        <w:top w:val="none" w:sz="0" w:space="0" w:color="auto"/>
        <w:left w:val="none" w:sz="0" w:space="0" w:color="auto"/>
        <w:bottom w:val="none" w:sz="0" w:space="0" w:color="auto"/>
        <w:right w:val="none" w:sz="0" w:space="0" w:color="auto"/>
      </w:divBdr>
    </w:div>
    <w:div w:id="336806224">
      <w:bodyDiv w:val="1"/>
      <w:marLeft w:val="0"/>
      <w:marRight w:val="0"/>
      <w:marTop w:val="0"/>
      <w:marBottom w:val="0"/>
      <w:divBdr>
        <w:top w:val="none" w:sz="0" w:space="0" w:color="auto"/>
        <w:left w:val="none" w:sz="0" w:space="0" w:color="auto"/>
        <w:bottom w:val="none" w:sz="0" w:space="0" w:color="auto"/>
        <w:right w:val="none" w:sz="0" w:space="0" w:color="auto"/>
      </w:divBdr>
    </w:div>
    <w:div w:id="407968884">
      <w:bodyDiv w:val="1"/>
      <w:marLeft w:val="0"/>
      <w:marRight w:val="0"/>
      <w:marTop w:val="0"/>
      <w:marBottom w:val="0"/>
      <w:divBdr>
        <w:top w:val="none" w:sz="0" w:space="0" w:color="auto"/>
        <w:left w:val="none" w:sz="0" w:space="0" w:color="auto"/>
        <w:bottom w:val="none" w:sz="0" w:space="0" w:color="auto"/>
        <w:right w:val="none" w:sz="0" w:space="0" w:color="auto"/>
      </w:divBdr>
    </w:div>
    <w:div w:id="425274304">
      <w:bodyDiv w:val="1"/>
      <w:marLeft w:val="0"/>
      <w:marRight w:val="0"/>
      <w:marTop w:val="0"/>
      <w:marBottom w:val="0"/>
      <w:divBdr>
        <w:top w:val="none" w:sz="0" w:space="0" w:color="auto"/>
        <w:left w:val="none" w:sz="0" w:space="0" w:color="auto"/>
        <w:bottom w:val="none" w:sz="0" w:space="0" w:color="auto"/>
        <w:right w:val="none" w:sz="0" w:space="0" w:color="auto"/>
      </w:divBdr>
    </w:div>
    <w:div w:id="425544377">
      <w:bodyDiv w:val="1"/>
      <w:marLeft w:val="0"/>
      <w:marRight w:val="0"/>
      <w:marTop w:val="0"/>
      <w:marBottom w:val="0"/>
      <w:divBdr>
        <w:top w:val="none" w:sz="0" w:space="0" w:color="auto"/>
        <w:left w:val="none" w:sz="0" w:space="0" w:color="auto"/>
        <w:bottom w:val="none" w:sz="0" w:space="0" w:color="auto"/>
        <w:right w:val="none" w:sz="0" w:space="0" w:color="auto"/>
      </w:divBdr>
    </w:div>
    <w:div w:id="506677308">
      <w:bodyDiv w:val="1"/>
      <w:marLeft w:val="0"/>
      <w:marRight w:val="0"/>
      <w:marTop w:val="0"/>
      <w:marBottom w:val="0"/>
      <w:divBdr>
        <w:top w:val="none" w:sz="0" w:space="0" w:color="auto"/>
        <w:left w:val="none" w:sz="0" w:space="0" w:color="auto"/>
        <w:bottom w:val="none" w:sz="0" w:space="0" w:color="auto"/>
        <w:right w:val="none" w:sz="0" w:space="0" w:color="auto"/>
      </w:divBdr>
    </w:div>
    <w:div w:id="592856550">
      <w:bodyDiv w:val="1"/>
      <w:marLeft w:val="0"/>
      <w:marRight w:val="0"/>
      <w:marTop w:val="0"/>
      <w:marBottom w:val="0"/>
      <w:divBdr>
        <w:top w:val="none" w:sz="0" w:space="0" w:color="auto"/>
        <w:left w:val="none" w:sz="0" w:space="0" w:color="auto"/>
        <w:bottom w:val="none" w:sz="0" w:space="0" w:color="auto"/>
        <w:right w:val="none" w:sz="0" w:space="0" w:color="auto"/>
      </w:divBdr>
    </w:div>
    <w:div w:id="650018760">
      <w:bodyDiv w:val="1"/>
      <w:marLeft w:val="0"/>
      <w:marRight w:val="0"/>
      <w:marTop w:val="0"/>
      <w:marBottom w:val="0"/>
      <w:divBdr>
        <w:top w:val="none" w:sz="0" w:space="0" w:color="auto"/>
        <w:left w:val="none" w:sz="0" w:space="0" w:color="auto"/>
        <w:bottom w:val="none" w:sz="0" w:space="0" w:color="auto"/>
        <w:right w:val="none" w:sz="0" w:space="0" w:color="auto"/>
      </w:divBdr>
    </w:div>
    <w:div w:id="689917685">
      <w:bodyDiv w:val="1"/>
      <w:marLeft w:val="0"/>
      <w:marRight w:val="0"/>
      <w:marTop w:val="0"/>
      <w:marBottom w:val="0"/>
      <w:divBdr>
        <w:top w:val="none" w:sz="0" w:space="0" w:color="auto"/>
        <w:left w:val="none" w:sz="0" w:space="0" w:color="auto"/>
        <w:bottom w:val="none" w:sz="0" w:space="0" w:color="auto"/>
        <w:right w:val="none" w:sz="0" w:space="0" w:color="auto"/>
      </w:divBdr>
    </w:div>
    <w:div w:id="763723453">
      <w:bodyDiv w:val="1"/>
      <w:marLeft w:val="0"/>
      <w:marRight w:val="0"/>
      <w:marTop w:val="0"/>
      <w:marBottom w:val="0"/>
      <w:divBdr>
        <w:top w:val="none" w:sz="0" w:space="0" w:color="auto"/>
        <w:left w:val="none" w:sz="0" w:space="0" w:color="auto"/>
        <w:bottom w:val="none" w:sz="0" w:space="0" w:color="auto"/>
        <w:right w:val="none" w:sz="0" w:space="0" w:color="auto"/>
      </w:divBdr>
    </w:div>
    <w:div w:id="778839860">
      <w:bodyDiv w:val="1"/>
      <w:marLeft w:val="0"/>
      <w:marRight w:val="0"/>
      <w:marTop w:val="0"/>
      <w:marBottom w:val="0"/>
      <w:divBdr>
        <w:top w:val="none" w:sz="0" w:space="0" w:color="auto"/>
        <w:left w:val="none" w:sz="0" w:space="0" w:color="auto"/>
        <w:bottom w:val="none" w:sz="0" w:space="0" w:color="auto"/>
        <w:right w:val="none" w:sz="0" w:space="0" w:color="auto"/>
      </w:divBdr>
    </w:div>
    <w:div w:id="803891656">
      <w:bodyDiv w:val="1"/>
      <w:marLeft w:val="0"/>
      <w:marRight w:val="0"/>
      <w:marTop w:val="0"/>
      <w:marBottom w:val="0"/>
      <w:divBdr>
        <w:top w:val="none" w:sz="0" w:space="0" w:color="auto"/>
        <w:left w:val="none" w:sz="0" w:space="0" w:color="auto"/>
        <w:bottom w:val="none" w:sz="0" w:space="0" w:color="auto"/>
        <w:right w:val="none" w:sz="0" w:space="0" w:color="auto"/>
      </w:divBdr>
    </w:div>
    <w:div w:id="815223246">
      <w:bodyDiv w:val="1"/>
      <w:marLeft w:val="0"/>
      <w:marRight w:val="0"/>
      <w:marTop w:val="0"/>
      <w:marBottom w:val="0"/>
      <w:divBdr>
        <w:top w:val="none" w:sz="0" w:space="0" w:color="auto"/>
        <w:left w:val="none" w:sz="0" w:space="0" w:color="auto"/>
        <w:bottom w:val="none" w:sz="0" w:space="0" w:color="auto"/>
        <w:right w:val="none" w:sz="0" w:space="0" w:color="auto"/>
      </w:divBdr>
    </w:div>
    <w:div w:id="887644537">
      <w:bodyDiv w:val="1"/>
      <w:marLeft w:val="0"/>
      <w:marRight w:val="0"/>
      <w:marTop w:val="0"/>
      <w:marBottom w:val="0"/>
      <w:divBdr>
        <w:top w:val="none" w:sz="0" w:space="0" w:color="auto"/>
        <w:left w:val="none" w:sz="0" w:space="0" w:color="auto"/>
        <w:bottom w:val="none" w:sz="0" w:space="0" w:color="auto"/>
        <w:right w:val="none" w:sz="0" w:space="0" w:color="auto"/>
      </w:divBdr>
    </w:div>
    <w:div w:id="919483956">
      <w:bodyDiv w:val="1"/>
      <w:marLeft w:val="0"/>
      <w:marRight w:val="0"/>
      <w:marTop w:val="0"/>
      <w:marBottom w:val="0"/>
      <w:divBdr>
        <w:top w:val="none" w:sz="0" w:space="0" w:color="auto"/>
        <w:left w:val="none" w:sz="0" w:space="0" w:color="auto"/>
        <w:bottom w:val="none" w:sz="0" w:space="0" w:color="auto"/>
        <w:right w:val="none" w:sz="0" w:space="0" w:color="auto"/>
      </w:divBdr>
    </w:div>
    <w:div w:id="920791127">
      <w:bodyDiv w:val="1"/>
      <w:marLeft w:val="0"/>
      <w:marRight w:val="0"/>
      <w:marTop w:val="0"/>
      <w:marBottom w:val="0"/>
      <w:divBdr>
        <w:top w:val="none" w:sz="0" w:space="0" w:color="auto"/>
        <w:left w:val="none" w:sz="0" w:space="0" w:color="auto"/>
        <w:bottom w:val="none" w:sz="0" w:space="0" w:color="auto"/>
        <w:right w:val="none" w:sz="0" w:space="0" w:color="auto"/>
      </w:divBdr>
    </w:div>
    <w:div w:id="921766210">
      <w:bodyDiv w:val="1"/>
      <w:marLeft w:val="0"/>
      <w:marRight w:val="0"/>
      <w:marTop w:val="0"/>
      <w:marBottom w:val="0"/>
      <w:divBdr>
        <w:top w:val="none" w:sz="0" w:space="0" w:color="auto"/>
        <w:left w:val="none" w:sz="0" w:space="0" w:color="auto"/>
        <w:bottom w:val="none" w:sz="0" w:space="0" w:color="auto"/>
        <w:right w:val="none" w:sz="0" w:space="0" w:color="auto"/>
      </w:divBdr>
    </w:div>
    <w:div w:id="984047677">
      <w:bodyDiv w:val="1"/>
      <w:marLeft w:val="0"/>
      <w:marRight w:val="0"/>
      <w:marTop w:val="0"/>
      <w:marBottom w:val="0"/>
      <w:divBdr>
        <w:top w:val="none" w:sz="0" w:space="0" w:color="auto"/>
        <w:left w:val="none" w:sz="0" w:space="0" w:color="auto"/>
        <w:bottom w:val="none" w:sz="0" w:space="0" w:color="auto"/>
        <w:right w:val="none" w:sz="0" w:space="0" w:color="auto"/>
      </w:divBdr>
      <w:divsChild>
        <w:div w:id="948662662">
          <w:marLeft w:val="0"/>
          <w:marRight w:val="0"/>
          <w:marTop w:val="0"/>
          <w:marBottom w:val="0"/>
          <w:divBdr>
            <w:top w:val="none" w:sz="0" w:space="0" w:color="auto"/>
            <w:left w:val="none" w:sz="0" w:space="0" w:color="auto"/>
            <w:bottom w:val="none" w:sz="0" w:space="0" w:color="auto"/>
            <w:right w:val="none" w:sz="0" w:space="0" w:color="auto"/>
          </w:divBdr>
          <w:divsChild>
            <w:div w:id="1748991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548493">
      <w:bodyDiv w:val="1"/>
      <w:marLeft w:val="0"/>
      <w:marRight w:val="0"/>
      <w:marTop w:val="0"/>
      <w:marBottom w:val="0"/>
      <w:divBdr>
        <w:top w:val="none" w:sz="0" w:space="0" w:color="auto"/>
        <w:left w:val="none" w:sz="0" w:space="0" w:color="auto"/>
        <w:bottom w:val="none" w:sz="0" w:space="0" w:color="auto"/>
        <w:right w:val="none" w:sz="0" w:space="0" w:color="auto"/>
      </w:divBdr>
    </w:div>
    <w:div w:id="1110124595">
      <w:bodyDiv w:val="1"/>
      <w:marLeft w:val="0"/>
      <w:marRight w:val="0"/>
      <w:marTop w:val="0"/>
      <w:marBottom w:val="0"/>
      <w:divBdr>
        <w:top w:val="none" w:sz="0" w:space="0" w:color="auto"/>
        <w:left w:val="none" w:sz="0" w:space="0" w:color="auto"/>
        <w:bottom w:val="none" w:sz="0" w:space="0" w:color="auto"/>
        <w:right w:val="none" w:sz="0" w:space="0" w:color="auto"/>
      </w:divBdr>
    </w:div>
    <w:div w:id="1131437936">
      <w:bodyDiv w:val="1"/>
      <w:marLeft w:val="0"/>
      <w:marRight w:val="0"/>
      <w:marTop w:val="0"/>
      <w:marBottom w:val="0"/>
      <w:divBdr>
        <w:top w:val="none" w:sz="0" w:space="0" w:color="auto"/>
        <w:left w:val="none" w:sz="0" w:space="0" w:color="auto"/>
        <w:bottom w:val="none" w:sz="0" w:space="0" w:color="auto"/>
        <w:right w:val="none" w:sz="0" w:space="0" w:color="auto"/>
      </w:divBdr>
    </w:div>
    <w:div w:id="1165364311">
      <w:bodyDiv w:val="1"/>
      <w:marLeft w:val="0"/>
      <w:marRight w:val="0"/>
      <w:marTop w:val="0"/>
      <w:marBottom w:val="0"/>
      <w:divBdr>
        <w:top w:val="none" w:sz="0" w:space="0" w:color="auto"/>
        <w:left w:val="none" w:sz="0" w:space="0" w:color="auto"/>
        <w:bottom w:val="none" w:sz="0" w:space="0" w:color="auto"/>
        <w:right w:val="none" w:sz="0" w:space="0" w:color="auto"/>
      </w:divBdr>
    </w:div>
    <w:div w:id="1172792935">
      <w:bodyDiv w:val="1"/>
      <w:marLeft w:val="0"/>
      <w:marRight w:val="0"/>
      <w:marTop w:val="0"/>
      <w:marBottom w:val="0"/>
      <w:divBdr>
        <w:top w:val="none" w:sz="0" w:space="0" w:color="auto"/>
        <w:left w:val="none" w:sz="0" w:space="0" w:color="auto"/>
        <w:bottom w:val="none" w:sz="0" w:space="0" w:color="auto"/>
        <w:right w:val="none" w:sz="0" w:space="0" w:color="auto"/>
      </w:divBdr>
    </w:div>
    <w:div w:id="1270895695">
      <w:bodyDiv w:val="1"/>
      <w:marLeft w:val="0"/>
      <w:marRight w:val="0"/>
      <w:marTop w:val="0"/>
      <w:marBottom w:val="0"/>
      <w:divBdr>
        <w:top w:val="none" w:sz="0" w:space="0" w:color="auto"/>
        <w:left w:val="none" w:sz="0" w:space="0" w:color="auto"/>
        <w:bottom w:val="none" w:sz="0" w:space="0" w:color="auto"/>
        <w:right w:val="none" w:sz="0" w:space="0" w:color="auto"/>
      </w:divBdr>
    </w:div>
    <w:div w:id="1284338054">
      <w:bodyDiv w:val="1"/>
      <w:marLeft w:val="0"/>
      <w:marRight w:val="0"/>
      <w:marTop w:val="0"/>
      <w:marBottom w:val="0"/>
      <w:divBdr>
        <w:top w:val="none" w:sz="0" w:space="0" w:color="auto"/>
        <w:left w:val="none" w:sz="0" w:space="0" w:color="auto"/>
        <w:bottom w:val="none" w:sz="0" w:space="0" w:color="auto"/>
        <w:right w:val="none" w:sz="0" w:space="0" w:color="auto"/>
      </w:divBdr>
    </w:div>
    <w:div w:id="1285506610">
      <w:bodyDiv w:val="1"/>
      <w:marLeft w:val="0"/>
      <w:marRight w:val="0"/>
      <w:marTop w:val="0"/>
      <w:marBottom w:val="0"/>
      <w:divBdr>
        <w:top w:val="none" w:sz="0" w:space="0" w:color="auto"/>
        <w:left w:val="none" w:sz="0" w:space="0" w:color="auto"/>
        <w:bottom w:val="none" w:sz="0" w:space="0" w:color="auto"/>
        <w:right w:val="none" w:sz="0" w:space="0" w:color="auto"/>
      </w:divBdr>
    </w:div>
    <w:div w:id="1326326852">
      <w:bodyDiv w:val="1"/>
      <w:marLeft w:val="0"/>
      <w:marRight w:val="0"/>
      <w:marTop w:val="0"/>
      <w:marBottom w:val="0"/>
      <w:divBdr>
        <w:top w:val="none" w:sz="0" w:space="0" w:color="auto"/>
        <w:left w:val="none" w:sz="0" w:space="0" w:color="auto"/>
        <w:bottom w:val="none" w:sz="0" w:space="0" w:color="auto"/>
        <w:right w:val="none" w:sz="0" w:space="0" w:color="auto"/>
      </w:divBdr>
    </w:div>
    <w:div w:id="1414158159">
      <w:bodyDiv w:val="1"/>
      <w:marLeft w:val="0"/>
      <w:marRight w:val="0"/>
      <w:marTop w:val="0"/>
      <w:marBottom w:val="0"/>
      <w:divBdr>
        <w:top w:val="none" w:sz="0" w:space="0" w:color="auto"/>
        <w:left w:val="none" w:sz="0" w:space="0" w:color="auto"/>
        <w:bottom w:val="none" w:sz="0" w:space="0" w:color="auto"/>
        <w:right w:val="none" w:sz="0" w:space="0" w:color="auto"/>
      </w:divBdr>
      <w:divsChild>
        <w:div w:id="173152073">
          <w:marLeft w:val="0"/>
          <w:marRight w:val="0"/>
          <w:marTop w:val="0"/>
          <w:marBottom w:val="0"/>
          <w:divBdr>
            <w:top w:val="none" w:sz="0" w:space="0" w:color="auto"/>
            <w:left w:val="none" w:sz="0" w:space="0" w:color="auto"/>
            <w:bottom w:val="none" w:sz="0" w:space="0" w:color="auto"/>
            <w:right w:val="none" w:sz="0" w:space="0" w:color="auto"/>
          </w:divBdr>
          <w:divsChild>
            <w:div w:id="253902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078643">
      <w:bodyDiv w:val="1"/>
      <w:marLeft w:val="0"/>
      <w:marRight w:val="0"/>
      <w:marTop w:val="0"/>
      <w:marBottom w:val="0"/>
      <w:divBdr>
        <w:top w:val="none" w:sz="0" w:space="0" w:color="auto"/>
        <w:left w:val="none" w:sz="0" w:space="0" w:color="auto"/>
        <w:bottom w:val="none" w:sz="0" w:space="0" w:color="auto"/>
        <w:right w:val="none" w:sz="0" w:space="0" w:color="auto"/>
      </w:divBdr>
    </w:div>
    <w:div w:id="1499496186">
      <w:bodyDiv w:val="1"/>
      <w:marLeft w:val="0"/>
      <w:marRight w:val="0"/>
      <w:marTop w:val="0"/>
      <w:marBottom w:val="0"/>
      <w:divBdr>
        <w:top w:val="none" w:sz="0" w:space="0" w:color="auto"/>
        <w:left w:val="none" w:sz="0" w:space="0" w:color="auto"/>
        <w:bottom w:val="none" w:sz="0" w:space="0" w:color="auto"/>
        <w:right w:val="none" w:sz="0" w:space="0" w:color="auto"/>
      </w:divBdr>
    </w:div>
    <w:div w:id="1500729548">
      <w:bodyDiv w:val="1"/>
      <w:marLeft w:val="0"/>
      <w:marRight w:val="0"/>
      <w:marTop w:val="0"/>
      <w:marBottom w:val="0"/>
      <w:divBdr>
        <w:top w:val="none" w:sz="0" w:space="0" w:color="auto"/>
        <w:left w:val="none" w:sz="0" w:space="0" w:color="auto"/>
        <w:bottom w:val="none" w:sz="0" w:space="0" w:color="auto"/>
        <w:right w:val="none" w:sz="0" w:space="0" w:color="auto"/>
      </w:divBdr>
    </w:div>
    <w:div w:id="1554387142">
      <w:bodyDiv w:val="1"/>
      <w:marLeft w:val="0"/>
      <w:marRight w:val="0"/>
      <w:marTop w:val="0"/>
      <w:marBottom w:val="0"/>
      <w:divBdr>
        <w:top w:val="none" w:sz="0" w:space="0" w:color="auto"/>
        <w:left w:val="none" w:sz="0" w:space="0" w:color="auto"/>
        <w:bottom w:val="none" w:sz="0" w:space="0" w:color="auto"/>
        <w:right w:val="none" w:sz="0" w:space="0" w:color="auto"/>
      </w:divBdr>
    </w:div>
    <w:div w:id="1565801054">
      <w:bodyDiv w:val="1"/>
      <w:marLeft w:val="0"/>
      <w:marRight w:val="0"/>
      <w:marTop w:val="0"/>
      <w:marBottom w:val="0"/>
      <w:divBdr>
        <w:top w:val="none" w:sz="0" w:space="0" w:color="auto"/>
        <w:left w:val="none" w:sz="0" w:space="0" w:color="auto"/>
        <w:bottom w:val="none" w:sz="0" w:space="0" w:color="auto"/>
        <w:right w:val="none" w:sz="0" w:space="0" w:color="auto"/>
      </w:divBdr>
    </w:div>
    <w:div w:id="1597977211">
      <w:bodyDiv w:val="1"/>
      <w:marLeft w:val="0"/>
      <w:marRight w:val="0"/>
      <w:marTop w:val="0"/>
      <w:marBottom w:val="0"/>
      <w:divBdr>
        <w:top w:val="none" w:sz="0" w:space="0" w:color="auto"/>
        <w:left w:val="none" w:sz="0" w:space="0" w:color="auto"/>
        <w:bottom w:val="none" w:sz="0" w:space="0" w:color="auto"/>
        <w:right w:val="none" w:sz="0" w:space="0" w:color="auto"/>
      </w:divBdr>
    </w:div>
    <w:div w:id="1609045279">
      <w:bodyDiv w:val="1"/>
      <w:marLeft w:val="0"/>
      <w:marRight w:val="0"/>
      <w:marTop w:val="0"/>
      <w:marBottom w:val="0"/>
      <w:divBdr>
        <w:top w:val="none" w:sz="0" w:space="0" w:color="auto"/>
        <w:left w:val="none" w:sz="0" w:space="0" w:color="auto"/>
        <w:bottom w:val="none" w:sz="0" w:space="0" w:color="auto"/>
        <w:right w:val="none" w:sz="0" w:space="0" w:color="auto"/>
      </w:divBdr>
    </w:div>
    <w:div w:id="1655911972">
      <w:bodyDiv w:val="1"/>
      <w:marLeft w:val="0"/>
      <w:marRight w:val="0"/>
      <w:marTop w:val="0"/>
      <w:marBottom w:val="0"/>
      <w:divBdr>
        <w:top w:val="none" w:sz="0" w:space="0" w:color="auto"/>
        <w:left w:val="none" w:sz="0" w:space="0" w:color="auto"/>
        <w:bottom w:val="none" w:sz="0" w:space="0" w:color="auto"/>
        <w:right w:val="none" w:sz="0" w:space="0" w:color="auto"/>
      </w:divBdr>
      <w:divsChild>
        <w:div w:id="1336959707">
          <w:marLeft w:val="0"/>
          <w:marRight w:val="0"/>
          <w:marTop w:val="0"/>
          <w:marBottom w:val="0"/>
          <w:divBdr>
            <w:top w:val="none" w:sz="0" w:space="0" w:color="auto"/>
            <w:left w:val="none" w:sz="0" w:space="0" w:color="auto"/>
            <w:bottom w:val="none" w:sz="0" w:space="0" w:color="auto"/>
            <w:right w:val="none" w:sz="0" w:space="0" w:color="auto"/>
          </w:divBdr>
        </w:div>
        <w:div w:id="301009737">
          <w:marLeft w:val="0"/>
          <w:marRight w:val="0"/>
          <w:marTop w:val="0"/>
          <w:marBottom w:val="0"/>
          <w:divBdr>
            <w:top w:val="none" w:sz="0" w:space="0" w:color="auto"/>
            <w:left w:val="none" w:sz="0" w:space="0" w:color="auto"/>
            <w:bottom w:val="none" w:sz="0" w:space="0" w:color="auto"/>
            <w:right w:val="none" w:sz="0" w:space="0" w:color="auto"/>
          </w:divBdr>
        </w:div>
        <w:div w:id="132331081">
          <w:marLeft w:val="0"/>
          <w:marRight w:val="0"/>
          <w:marTop w:val="0"/>
          <w:marBottom w:val="0"/>
          <w:divBdr>
            <w:top w:val="none" w:sz="0" w:space="0" w:color="auto"/>
            <w:left w:val="none" w:sz="0" w:space="0" w:color="auto"/>
            <w:bottom w:val="none" w:sz="0" w:space="0" w:color="auto"/>
            <w:right w:val="none" w:sz="0" w:space="0" w:color="auto"/>
          </w:divBdr>
        </w:div>
        <w:div w:id="515386847">
          <w:marLeft w:val="0"/>
          <w:marRight w:val="0"/>
          <w:marTop w:val="0"/>
          <w:marBottom w:val="0"/>
          <w:divBdr>
            <w:top w:val="none" w:sz="0" w:space="0" w:color="auto"/>
            <w:left w:val="none" w:sz="0" w:space="0" w:color="auto"/>
            <w:bottom w:val="none" w:sz="0" w:space="0" w:color="auto"/>
            <w:right w:val="none" w:sz="0" w:space="0" w:color="auto"/>
          </w:divBdr>
        </w:div>
        <w:div w:id="1520243986">
          <w:marLeft w:val="0"/>
          <w:marRight w:val="0"/>
          <w:marTop w:val="0"/>
          <w:marBottom w:val="0"/>
          <w:divBdr>
            <w:top w:val="none" w:sz="0" w:space="0" w:color="auto"/>
            <w:left w:val="none" w:sz="0" w:space="0" w:color="auto"/>
            <w:bottom w:val="none" w:sz="0" w:space="0" w:color="auto"/>
            <w:right w:val="none" w:sz="0" w:space="0" w:color="auto"/>
          </w:divBdr>
        </w:div>
        <w:div w:id="1837842984">
          <w:marLeft w:val="0"/>
          <w:marRight w:val="0"/>
          <w:marTop w:val="0"/>
          <w:marBottom w:val="0"/>
          <w:divBdr>
            <w:top w:val="none" w:sz="0" w:space="0" w:color="auto"/>
            <w:left w:val="none" w:sz="0" w:space="0" w:color="auto"/>
            <w:bottom w:val="none" w:sz="0" w:space="0" w:color="auto"/>
            <w:right w:val="none" w:sz="0" w:space="0" w:color="auto"/>
          </w:divBdr>
        </w:div>
        <w:div w:id="143664625">
          <w:marLeft w:val="0"/>
          <w:marRight w:val="0"/>
          <w:marTop w:val="0"/>
          <w:marBottom w:val="0"/>
          <w:divBdr>
            <w:top w:val="none" w:sz="0" w:space="0" w:color="auto"/>
            <w:left w:val="none" w:sz="0" w:space="0" w:color="auto"/>
            <w:bottom w:val="none" w:sz="0" w:space="0" w:color="auto"/>
            <w:right w:val="none" w:sz="0" w:space="0" w:color="auto"/>
          </w:divBdr>
        </w:div>
        <w:div w:id="530461356">
          <w:marLeft w:val="0"/>
          <w:marRight w:val="0"/>
          <w:marTop w:val="0"/>
          <w:marBottom w:val="0"/>
          <w:divBdr>
            <w:top w:val="none" w:sz="0" w:space="0" w:color="auto"/>
            <w:left w:val="none" w:sz="0" w:space="0" w:color="auto"/>
            <w:bottom w:val="none" w:sz="0" w:space="0" w:color="auto"/>
            <w:right w:val="none" w:sz="0" w:space="0" w:color="auto"/>
          </w:divBdr>
        </w:div>
        <w:div w:id="188497779">
          <w:marLeft w:val="0"/>
          <w:marRight w:val="0"/>
          <w:marTop w:val="0"/>
          <w:marBottom w:val="0"/>
          <w:divBdr>
            <w:top w:val="none" w:sz="0" w:space="0" w:color="auto"/>
            <w:left w:val="none" w:sz="0" w:space="0" w:color="auto"/>
            <w:bottom w:val="none" w:sz="0" w:space="0" w:color="auto"/>
            <w:right w:val="none" w:sz="0" w:space="0" w:color="auto"/>
          </w:divBdr>
        </w:div>
        <w:div w:id="959074339">
          <w:marLeft w:val="0"/>
          <w:marRight w:val="0"/>
          <w:marTop w:val="0"/>
          <w:marBottom w:val="0"/>
          <w:divBdr>
            <w:top w:val="none" w:sz="0" w:space="0" w:color="auto"/>
            <w:left w:val="none" w:sz="0" w:space="0" w:color="auto"/>
            <w:bottom w:val="none" w:sz="0" w:space="0" w:color="auto"/>
            <w:right w:val="none" w:sz="0" w:space="0" w:color="auto"/>
          </w:divBdr>
        </w:div>
        <w:div w:id="1552575912">
          <w:marLeft w:val="0"/>
          <w:marRight w:val="0"/>
          <w:marTop w:val="0"/>
          <w:marBottom w:val="0"/>
          <w:divBdr>
            <w:top w:val="none" w:sz="0" w:space="0" w:color="auto"/>
            <w:left w:val="none" w:sz="0" w:space="0" w:color="auto"/>
            <w:bottom w:val="none" w:sz="0" w:space="0" w:color="auto"/>
            <w:right w:val="none" w:sz="0" w:space="0" w:color="auto"/>
          </w:divBdr>
        </w:div>
      </w:divsChild>
    </w:div>
    <w:div w:id="1656033349">
      <w:bodyDiv w:val="1"/>
      <w:marLeft w:val="0"/>
      <w:marRight w:val="0"/>
      <w:marTop w:val="0"/>
      <w:marBottom w:val="0"/>
      <w:divBdr>
        <w:top w:val="none" w:sz="0" w:space="0" w:color="auto"/>
        <w:left w:val="none" w:sz="0" w:space="0" w:color="auto"/>
        <w:bottom w:val="none" w:sz="0" w:space="0" w:color="auto"/>
        <w:right w:val="none" w:sz="0" w:space="0" w:color="auto"/>
      </w:divBdr>
    </w:div>
    <w:div w:id="1734422330">
      <w:bodyDiv w:val="1"/>
      <w:marLeft w:val="0"/>
      <w:marRight w:val="0"/>
      <w:marTop w:val="0"/>
      <w:marBottom w:val="0"/>
      <w:divBdr>
        <w:top w:val="none" w:sz="0" w:space="0" w:color="auto"/>
        <w:left w:val="none" w:sz="0" w:space="0" w:color="auto"/>
        <w:bottom w:val="none" w:sz="0" w:space="0" w:color="auto"/>
        <w:right w:val="none" w:sz="0" w:space="0" w:color="auto"/>
      </w:divBdr>
      <w:divsChild>
        <w:div w:id="1682782743">
          <w:marLeft w:val="0"/>
          <w:marRight w:val="0"/>
          <w:marTop w:val="0"/>
          <w:marBottom w:val="0"/>
          <w:divBdr>
            <w:top w:val="none" w:sz="0" w:space="0" w:color="auto"/>
            <w:left w:val="none" w:sz="0" w:space="0" w:color="auto"/>
            <w:bottom w:val="none" w:sz="0" w:space="0" w:color="auto"/>
            <w:right w:val="none" w:sz="0" w:space="0" w:color="auto"/>
          </w:divBdr>
        </w:div>
        <w:div w:id="732893595">
          <w:marLeft w:val="0"/>
          <w:marRight w:val="0"/>
          <w:marTop w:val="0"/>
          <w:marBottom w:val="0"/>
          <w:divBdr>
            <w:top w:val="none" w:sz="0" w:space="0" w:color="auto"/>
            <w:left w:val="none" w:sz="0" w:space="0" w:color="auto"/>
            <w:bottom w:val="none" w:sz="0" w:space="0" w:color="auto"/>
            <w:right w:val="none" w:sz="0" w:space="0" w:color="auto"/>
          </w:divBdr>
        </w:div>
        <w:div w:id="1679116269">
          <w:marLeft w:val="0"/>
          <w:marRight w:val="0"/>
          <w:marTop w:val="0"/>
          <w:marBottom w:val="0"/>
          <w:divBdr>
            <w:top w:val="none" w:sz="0" w:space="0" w:color="auto"/>
            <w:left w:val="none" w:sz="0" w:space="0" w:color="auto"/>
            <w:bottom w:val="none" w:sz="0" w:space="0" w:color="auto"/>
            <w:right w:val="none" w:sz="0" w:space="0" w:color="auto"/>
          </w:divBdr>
        </w:div>
        <w:div w:id="1778868149">
          <w:marLeft w:val="0"/>
          <w:marRight w:val="0"/>
          <w:marTop w:val="0"/>
          <w:marBottom w:val="0"/>
          <w:divBdr>
            <w:top w:val="none" w:sz="0" w:space="0" w:color="auto"/>
            <w:left w:val="none" w:sz="0" w:space="0" w:color="auto"/>
            <w:bottom w:val="none" w:sz="0" w:space="0" w:color="auto"/>
            <w:right w:val="none" w:sz="0" w:space="0" w:color="auto"/>
          </w:divBdr>
        </w:div>
        <w:div w:id="994458815">
          <w:marLeft w:val="0"/>
          <w:marRight w:val="0"/>
          <w:marTop w:val="0"/>
          <w:marBottom w:val="0"/>
          <w:divBdr>
            <w:top w:val="none" w:sz="0" w:space="0" w:color="auto"/>
            <w:left w:val="none" w:sz="0" w:space="0" w:color="auto"/>
            <w:bottom w:val="none" w:sz="0" w:space="0" w:color="auto"/>
            <w:right w:val="none" w:sz="0" w:space="0" w:color="auto"/>
          </w:divBdr>
        </w:div>
        <w:div w:id="2037535126">
          <w:marLeft w:val="0"/>
          <w:marRight w:val="0"/>
          <w:marTop w:val="0"/>
          <w:marBottom w:val="0"/>
          <w:divBdr>
            <w:top w:val="none" w:sz="0" w:space="0" w:color="auto"/>
            <w:left w:val="none" w:sz="0" w:space="0" w:color="auto"/>
            <w:bottom w:val="none" w:sz="0" w:space="0" w:color="auto"/>
            <w:right w:val="none" w:sz="0" w:space="0" w:color="auto"/>
          </w:divBdr>
        </w:div>
        <w:div w:id="67271334">
          <w:marLeft w:val="0"/>
          <w:marRight w:val="0"/>
          <w:marTop w:val="0"/>
          <w:marBottom w:val="0"/>
          <w:divBdr>
            <w:top w:val="none" w:sz="0" w:space="0" w:color="auto"/>
            <w:left w:val="none" w:sz="0" w:space="0" w:color="auto"/>
            <w:bottom w:val="none" w:sz="0" w:space="0" w:color="auto"/>
            <w:right w:val="none" w:sz="0" w:space="0" w:color="auto"/>
          </w:divBdr>
        </w:div>
        <w:div w:id="1603879019">
          <w:marLeft w:val="0"/>
          <w:marRight w:val="0"/>
          <w:marTop w:val="0"/>
          <w:marBottom w:val="0"/>
          <w:divBdr>
            <w:top w:val="none" w:sz="0" w:space="0" w:color="auto"/>
            <w:left w:val="none" w:sz="0" w:space="0" w:color="auto"/>
            <w:bottom w:val="none" w:sz="0" w:space="0" w:color="auto"/>
            <w:right w:val="none" w:sz="0" w:space="0" w:color="auto"/>
          </w:divBdr>
        </w:div>
      </w:divsChild>
    </w:div>
    <w:div w:id="1735197803">
      <w:bodyDiv w:val="1"/>
      <w:marLeft w:val="0"/>
      <w:marRight w:val="0"/>
      <w:marTop w:val="0"/>
      <w:marBottom w:val="0"/>
      <w:divBdr>
        <w:top w:val="none" w:sz="0" w:space="0" w:color="auto"/>
        <w:left w:val="none" w:sz="0" w:space="0" w:color="auto"/>
        <w:bottom w:val="none" w:sz="0" w:space="0" w:color="auto"/>
        <w:right w:val="none" w:sz="0" w:space="0" w:color="auto"/>
      </w:divBdr>
    </w:div>
    <w:div w:id="1751927952">
      <w:bodyDiv w:val="1"/>
      <w:marLeft w:val="0"/>
      <w:marRight w:val="0"/>
      <w:marTop w:val="0"/>
      <w:marBottom w:val="0"/>
      <w:divBdr>
        <w:top w:val="none" w:sz="0" w:space="0" w:color="auto"/>
        <w:left w:val="none" w:sz="0" w:space="0" w:color="auto"/>
        <w:bottom w:val="none" w:sz="0" w:space="0" w:color="auto"/>
        <w:right w:val="none" w:sz="0" w:space="0" w:color="auto"/>
      </w:divBdr>
    </w:div>
    <w:div w:id="1787306917">
      <w:bodyDiv w:val="1"/>
      <w:marLeft w:val="0"/>
      <w:marRight w:val="0"/>
      <w:marTop w:val="0"/>
      <w:marBottom w:val="0"/>
      <w:divBdr>
        <w:top w:val="none" w:sz="0" w:space="0" w:color="auto"/>
        <w:left w:val="none" w:sz="0" w:space="0" w:color="auto"/>
        <w:bottom w:val="none" w:sz="0" w:space="0" w:color="auto"/>
        <w:right w:val="none" w:sz="0" w:space="0" w:color="auto"/>
      </w:divBdr>
      <w:divsChild>
        <w:div w:id="1790933247">
          <w:marLeft w:val="0"/>
          <w:marRight w:val="0"/>
          <w:marTop w:val="0"/>
          <w:marBottom w:val="0"/>
          <w:divBdr>
            <w:top w:val="none" w:sz="0" w:space="0" w:color="auto"/>
            <w:left w:val="none" w:sz="0" w:space="0" w:color="auto"/>
            <w:bottom w:val="none" w:sz="0" w:space="0" w:color="auto"/>
            <w:right w:val="none" w:sz="0" w:space="0" w:color="auto"/>
          </w:divBdr>
        </w:div>
      </w:divsChild>
    </w:div>
    <w:div w:id="1806925093">
      <w:bodyDiv w:val="1"/>
      <w:marLeft w:val="0"/>
      <w:marRight w:val="0"/>
      <w:marTop w:val="0"/>
      <w:marBottom w:val="0"/>
      <w:divBdr>
        <w:top w:val="none" w:sz="0" w:space="0" w:color="auto"/>
        <w:left w:val="none" w:sz="0" w:space="0" w:color="auto"/>
        <w:bottom w:val="none" w:sz="0" w:space="0" w:color="auto"/>
        <w:right w:val="none" w:sz="0" w:space="0" w:color="auto"/>
      </w:divBdr>
    </w:div>
    <w:div w:id="1932203974">
      <w:bodyDiv w:val="1"/>
      <w:marLeft w:val="0"/>
      <w:marRight w:val="0"/>
      <w:marTop w:val="0"/>
      <w:marBottom w:val="0"/>
      <w:divBdr>
        <w:top w:val="none" w:sz="0" w:space="0" w:color="auto"/>
        <w:left w:val="none" w:sz="0" w:space="0" w:color="auto"/>
        <w:bottom w:val="none" w:sz="0" w:space="0" w:color="auto"/>
        <w:right w:val="none" w:sz="0" w:space="0" w:color="auto"/>
      </w:divBdr>
    </w:div>
    <w:div w:id="1946964464">
      <w:bodyDiv w:val="1"/>
      <w:marLeft w:val="0"/>
      <w:marRight w:val="0"/>
      <w:marTop w:val="0"/>
      <w:marBottom w:val="0"/>
      <w:divBdr>
        <w:top w:val="none" w:sz="0" w:space="0" w:color="auto"/>
        <w:left w:val="none" w:sz="0" w:space="0" w:color="auto"/>
        <w:bottom w:val="none" w:sz="0" w:space="0" w:color="auto"/>
        <w:right w:val="none" w:sz="0" w:space="0" w:color="auto"/>
      </w:divBdr>
    </w:div>
    <w:div w:id="2029132832">
      <w:bodyDiv w:val="1"/>
      <w:marLeft w:val="0"/>
      <w:marRight w:val="0"/>
      <w:marTop w:val="0"/>
      <w:marBottom w:val="0"/>
      <w:divBdr>
        <w:top w:val="none" w:sz="0" w:space="0" w:color="auto"/>
        <w:left w:val="none" w:sz="0" w:space="0" w:color="auto"/>
        <w:bottom w:val="none" w:sz="0" w:space="0" w:color="auto"/>
        <w:right w:val="none" w:sz="0" w:space="0" w:color="auto"/>
      </w:divBdr>
      <w:divsChild>
        <w:div w:id="365837852">
          <w:marLeft w:val="0"/>
          <w:marRight w:val="0"/>
          <w:marTop w:val="0"/>
          <w:marBottom w:val="0"/>
          <w:divBdr>
            <w:top w:val="none" w:sz="0" w:space="0" w:color="auto"/>
            <w:left w:val="none" w:sz="0" w:space="0" w:color="auto"/>
            <w:bottom w:val="none" w:sz="0" w:space="0" w:color="auto"/>
            <w:right w:val="none" w:sz="0" w:space="0" w:color="auto"/>
          </w:divBdr>
        </w:div>
        <w:div w:id="1494183876">
          <w:marLeft w:val="0"/>
          <w:marRight w:val="0"/>
          <w:marTop w:val="0"/>
          <w:marBottom w:val="0"/>
          <w:divBdr>
            <w:top w:val="none" w:sz="0" w:space="0" w:color="auto"/>
            <w:left w:val="none" w:sz="0" w:space="0" w:color="auto"/>
            <w:bottom w:val="none" w:sz="0" w:space="0" w:color="auto"/>
            <w:right w:val="none" w:sz="0" w:space="0" w:color="auto"/>
          </w:divBdr>
        </w:div>
        <w:div w:id="1833062535">
          <w:marLeft w:val="0"/>
          <w:marRight w:val="0"/>
          <w:marTop w:val="0"/>
          <w:marBottom w:val="0"/>
          <w:divBdr>
            <w:top w:val="none" w:sz="0" w:space="0" w:color="auto"/>
            <w:left w:val="none" w:sz="0" w:space="0" w:color="auto"/>
            <w:bottom w:val="none" w:sz="0" w:space="0" w:color="auto"/>
            <w:right w:val="none" w:sz="0" w:space="0" w:color="auto"/>
          </w:divBdr>
        </w:div>
      </w:divsChild>
    </w:div>
    <w:div w:id="2067221280">
      <w:bodyDiv w:val="1"/>
      <w:marLeft w:val="0"/>
      <w:marRight w:val="0"/>
      <w:marTop w:val="0"/>
      <w:marBottom w:val="0"/>
      <w:divBdr>
        <w:top w:val="none" w:sz="0" w:space="0" w:color="auto"/>
        <w:left w:val="none" w:sz="0" w:space="0" w:color="auto"/>
        <w:bottom w:val="none" w:sz="0" w:space="0" w:color="auto"/>
        <w:right w:val="none" w:sz="0" w:space="0" w:color="auto"/>
      </w:divBdr>
    </w:div>
    <w:div w:id="2113864349">
      <w:bodyDiv w:val="1"/>
      <w:marLeft w:val="0"/>
      <w:marRight w:val="0"/>
      <w:marTop w:val="0"/>
      <w:marBottom w:val="0"/>
      <w:divBdr>
        <w:top w:val="none" w:sz="0" w:space="0" w:color="auto"/>
        <w:left w:val="none" w:sz="0" w:space="0" w:color="auto"/>
        <w:bottom w:val="none" w:sz="0" w:space="0" w:color="auto"/>
        <w:right w:val="none" w:sz="0" w:space="0" w:color="auto"/>
      </w:divBdr>
    </w:div>
    <w:div w:id="213864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3" Type="http://schemas.openxmlformats.org/officeDocument/2006/relationships/hyperlink" Target="https://www.who.int/emergencies/situations/influenza-a-(h1n1)-outbreak" TargetMode="External"/><Relationship Id="rId18" Type="http://schemas.openxmlformats.org/officeDocument/2006/relationships/hyperlink" Target="https://www.lacostituzione.info/index.php/2021/08/09/replica-al-documento-anti-green-pass-pubblicato-da-questione-giustizia/" TargetMode="External"/><Relationship Id="rId26" Type="http://schemas.openxmlformats.org/officeDocument/2006/relationships/hyperlink" Target="https://hudoc.echr.coe.int/eng" TargetMode="External"/><Relationship Id="rId3" Type="http://schemas.openxmlformats.org/officeDocument/2006/relationships/hyperlink" Target="https://www.bruegel.org/people/guntram-b-wolff" TargetMode="External"/><Relationship Id="rId21" Type="http://schemas.openxmlformats.org/officeDocument/2006/relationships/hyperlink" Target="https://www.lefigaro.fr/vox/societe/passe-sanitaire-la-protection-de-la-santeest-devenu-un-principe-cardinal-pour-le-conseil-constitutionnel-20210805" TargetMode="External"/><Relationship Id="rId34" Type="http://schemas.openxmlformats.org/officeDocument/2006/relationships/hyperlink" Target="https://www.europarl.europa.eu/at-your-service/files/be-heard/eurobarometer/2021/soteu-flash-survey/soteu-2021-report-en.pdf" TargetMode="External"/><Relationship Id="rId7" Type="http://schemas.openxmlformats.org/officeDocument/2006/relationships/hyperlink" Target="https://www.bruegel.org/people/miquel-oliu-barton" TargetMode="External"/><Relationship Id="rId12" Type="http://schemas.openxmlformats.org/officeDocument/2006/relationships/hyperlink" Target="https://www.who.int/emergencies/diseases/novel-coronavirus-2019/question-and-answers-hub/q-a-detail/herd-immunity-lockdowns-and-covid-19?gclid=Cj0KCQiAkMGcBhCSARIsAIW6d0D7GLvdSUAphlMd41aqwYpAdUze98Xx_ZLvC4tPwUusUmRASHomlrEaAu7ZEALw_wcB" TargetMode="External"/><Relationship Id="rId17" Type="http://schemas.openxmlformats.org/officeDocument/2006/relationships/hyperlink" Target="https://www.consilium.europa.eu/it/press/press-releases/2020/03/17/conclusions-by-the-president-of-the-european-council-following-the-video-conference-with-members-of-the-european-council-on-covid-19/" TargetMode="External"/><Relationship Id="rId25" Type="http://schemas.openxmlformats.org/officeDocument/2006/relationships/hyperlink" Target="https://www.who.int/initiatives/act-accelerator/covax" TargetMode="External"/><Relationship Id="rId33" Type="http://schemas.openxmlformats.org/officeDocument/2006/relationships/hyperlink" Target="https://ec.europa.eu/info/live-work-travel-eu/coronavirus-response/safe-covid-19-vaccines-europeans/eu-digital-covid-certificate_it" TargetMode="External"/><Relationship Id="rId2" Type="http://schemas.openxmlformats.org/officeDocument/2006/relationships/hyperlink" Target="https://www.bruegel.org/people/philippe-aghion" TargetMode="External"/><Relationship Id="rId16" Type="http://schemas.openxmlformats.org/officeDocument/2006/relationships/hyperlink" Target="https://eur-lex.europa.eu/legal-content/IT/TXT/PDF/?uri=CELEX:52020XC0316(03)&amp;from=IT" TargetMode="External"/><Relationship Id="rId20" Type="http://schemas.openxmlformats.org/officeDocument/2006/relationships/hyperlink" Target="http://www.Cortisupremesalute.it" TargetMode="External"/><Relationship Id="rId29" Type="http://schemas.openxmlformats.org/officeDocument/2006/relationships/hyperlink" Target="https://www.who.int/health-topics/common-goods-for-health" TargetMode="External"/><Relationship Id="rId1" Type="http://schemas.openxmlformats.org/officeDocument/2006/relationships/hyperlink" Target="https://www.who.int/director-general/speeches/detail/who-director-general-s-opening-remarks-at-the-media-briefing-on-covid-19---11-march-2020" TargetMode="External"/><Relationship Id="rId6" Type="http://schemas.openxmlformats.org/officeDocument/2006/relationships/hyperlink" Target="https://www.bruegel.org/people/bary-pradelski" TargetMode="External"/><Relationship Id="rId11" Type="http://schemas.openxmlformats.org/officeDocument/2006/relationships/hyperlink" Target="https://www.bruegel.org/working-paper/effect-covid-certificates-vaccine-uptake-public-health-and-economy" TargetMode="External"/><Relationship Id="rId24" Type="http://schemas.openxmlformats.org/officeDocument/2006/relationships/hyperlink" Target="https://unric.org/it/oms-la-ripartizione-iniqua-dei-vaccini-covid-19-diventa-piu-grottesca-ogni-giorno/" TargetMode="External"/><Relationship Id="rId32" Type="http://schemas.openxmlformats.org/officeDocument/2006/relationships/hyperlink" Target="https://www.who.int/publications/i/item/WHO-2019-nCoV-Policy-brief-Mandatory-vaccination-2022.1" TargetMode="External"/><Relationship Id="rId5" Type="http://schemas.openxmlformats.org/officeDocument/2006/relationships/hyperlink" Target="https://www.bruegel.org/people/lionel-guetta-jeanrenaud" TargetMode="External"/><Relationship Id="rId15" Type="http://schemas.openxmlformats.org/officeDocument/2006/relationships/hyperlink" Target="https://eur-lex.europa.eu/legal-content/IT/TXT/PDF/?uri=CELEX:52020DC0115&amp;from=IT" TargetMode="External"/><Relationship Id="rId23" Type="http://schemas.openxmlformats.org/officeDocument/2006/relationships/hyperlink" Target="https://unric.org/it/dichiarazione-congiunta-covax-appello-urgente-per-fornire-2-miliardi-di-dosi-a-covax-entro-la-fine-del-2021/" TargetMode="External"/><Relationship Id="rId28" Type="http://schemas.openxmlformats.org/officeDocument/2006/relationships/hyperlink" Target="https://www.governo.it/sites/governo.it/files/G20ROMELEADERSDECLARATION.pdf" TargetMode="External"/><Relationship Id="rId10" Type="http://schemas.openxmlformats.org/officeDocument/2006/relationships/hyperlink" Target="https://www.bruegel.org/people/arnaud-fontanet" TargetMode="External"/><Relationship Id="rId19" Type="http://schemas.openxmlformats.org/officeDocument/2006/relationships/hyperlink" Target="https://www.ildubbio.news/2021/01/01/cerrina-feroni-sbagliato-imporre/" TargetMode="External"/><Relationship Id="rId31" Type="http://schemas.openxmlformats.org/officeDocument/2006/relationships/hyperlink" Target="https://www.coe.int/en/web/data-protection/-/vaccine-pass-yes-but-with-strict-respect-of-human-rights" TargetMode="External"/><Relationship Id="rId4" Type="http://schemas.openxmlformats.org/officeDocument/2006/relationships/hyperlink" Target="https://www.bruegel.org/people/philippe-martin" TargetMode="External"/><Relationship Id="rId9" Type="http://schemas.openxmlformats.org/officeDocument/2006/relationships/hyperlink" Target="https://www.bruegel.org/people/patrick-artus" TargetMode="External"/><Relationship Id="rId14" Type="http://schemas.openxmlformats.org/officeDocument/2006/relationships/hyperlink" Target="https://www.who.int/europe/news/item/23-07-2022-who-director-general-declares-the-ongoing-monkeypox-outbreak-a-public-health-event-of-international-concern" TargetMode="External"/><Relationship Id="rId22" Type="http://schemas.openxmlformats.org/officeDocument/2006/relationships/hyperlink" Target="https://www.who.int/europe/news/item/01-09-2022-infodemics-and-misinformation-negatively-affect-people-s-health-behaviours--new-who-review-finds" TargetMode="External"/><Relationship Id="rId27" Type="http://schemas.openxmlformats.org/officeDocument/2006/relationships/hyperlink" Target="http://www.echr.coe.int/Documents/PD_interim_measures_ENG.pdf" TargetMode="External"/><Relationship Id="rId30" Type="http://schemas.openxmlformats.org/officeDocument/2006/relationships/hyperlink" Target="https://www.coe.int/en/web/portal/-/vaccine-passports-council-of-europe-issues-guidance-to-governments-to-safeguard-human-rights" TargetMode="External"/><Relationship Id="rId8" Type="http://schemas.openxmlformats.org/officeDocument/2006/relationships/hyperlink" Target="https://www.bruegel.org/people/nicolas-woloszko"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D7BFCB-CD93-406C-B820-B3E7BA199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6707</Words>
  <Characters>38973</Characters>
  <Application>Microsoft Office Word</Application>
  <DocSecurity>0</DocSecurity>
  <Lines>487</Lines>
  <Paragraphs>83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francesco battaglia</cp:lastModifiedBy>
  <cp:revision>5</cp:revision>
  <cp:lastPrinted>2022-12-15T15:47:00Z</cp:lastPrinted>
  <dcterms:created xsi:type="dcterms:W3CDTF">2022-12-15T15:47:00Z</dcterms:created>
  <dcterms:modified xsi:type="dcterms:W3CDTF">2022-12-15T17:43:00Z</dcterms:modified>
</cp:coreProperties>
</file>